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5A61D1" w14:textId="77777777" w:rsidR="00AE54E3" w:rsidRDefault="00AE54E3" w:rsidP="00AE54E3">
      <w:pPr>
        <w:rPr>
          <w:rFonts w:cs="Times New Roman"/>
          <w:b/>
          <w:bCs w:val="0"/>
          <w:caps/>
          <w:color w:val="0095D5"/>
          <w:szCs w:val="20"/>
          <w:lang w:val="de-DE" w:eastAsia="x-none"/>
        </w:rPr>
      </w:pPr>
      <w:bookmarkStart w:id="0" w:name="_Hlk500861917"/>
      <w:bookmarkStart w:id="1" w:name="_Hlk500926874"/>
      <w:r w:rsidRPr="00645E24">
        <w:rPr>
          <w:rFonts w:cs="Times New Roman"/>
          <w:b/>
          <w:bCs w:val="0"/>
          <w:caps/>
          <w:color w:val="0095D5"/>
          <w:szCs w:val="20"/>
          <w:lang w:val="de-DE" w:eastAsia="x-none"/>
        </w:rPr>
        <w:t>vollständig intermodulationsfrei</w:t>
      </w:r>
    </w:p>
    <w:p w14:paraId="118D759D" w14:textId="3C5018B1" w:rsidR="007F5FA6" w:rsidRPr="00812513" w:rsidRDefault="007F5FA6" w:rsidP="001E4BE7">
      <w:pPr>
        <w:rPr>
          <w:rFonts w:eastAsiaTheme="minorHAnsi" w:cstheme="minorBidi"/>
          <w:b/>
          <w:bCs w:val="0"/>
          <w:lang w:val="de-DE"/>
        </w:rPr>
      </w:pPr>
      <w:r w:rsidRPr="00812513">
        <w:rPr>
          <w:rFonts w:eastAsiaTheme="minorHAnsi" w:cstheme="minorBidi"/>
          <w:b/>
          <w:bCs w:val="0"/>
          <w:lang w:val="de-DE"/>
        </w:rPr>
        <w:t>„Sennheiser Digital 6000 Drahtlossysteme sind für Theater die richtige Wahl!“</w:t>
      </w:r>
    </w:p>
    <w:p w14:paraId="3C357028" w14:textId="691C733D" w:rsidR="00B363E5" w:rsidRDefault="00B363E5" w:rsidP="001E4BE7">
      <w:pPr>
        <w:rPr>
          <w:rFonts w:cs="Times New Roman"/>
          <w:b/>
          <w:bCs w:val="0"/>
          <w:caps/>
          <w:color w:val="0095D5"/>
          <w:szCs w:val="20"/>
          <w:lang w:val="de-DE" w:eastAsia="x-none"/>
        </w:rPr>
      </w:pPr>
    </w:p>
    <w:p w14:paraId="613F4F90" w14:textId="4855D19E" w:rsidR="00E11786" w:rsidRPr="00E90D67" w:rsidRDefault="007B4CB4" w:rsidP="00A11A6B">
      <w:pPr>
        <w:rPr>
          <w:b/>
          <w:lang w:val="de-DE"/>
        </w:rPr>
      </w:pPr>
      <w:r w:rsidRPr="0057371F">
        <w:rPr>
          <w:b/>
          <w:i/>
          <w:lang w:val="de-DE"/>
        </w:rPr>
        <w:t>Wedemark</w:t>
      </w:r>
      <w:r w:rsidR="003F49EC">
        <w:rPr>
          <w:b/>
          <w:i/>
          <w:lang w:val="de-DE"/>
        </w:rPr>
        <w:t>, 24</w:t>
      </w:r>
      <w:r w:rsidR="003C7C1D" w:rsidRPr="0057371F">
        <w:rPr>
          <w:b/>
          <w:i/>
          <w:lang w:val="de-DE"/>
        </w:rPr>
        <w:t xml:space="preserve">. </w:t>
      </w:r>
      <w:r w:rsidR="00B37B09">
        <w:rPr>
          <w:b/>
          <w:i/>
          <w:lang w:val="de-DE"/>
        </w:rPr>
        <w:t>September</w:t>
      </w:r>
      <w:r w:rsidR="007F5FA6" w:rsidRPr="0057371F">
        <w:rPr>
          <w:b/>
          <w:i/>
          <w:lang w:val="de-DE"/>
        </w:rPr>
        <w:t xml:space="preserve"> </w:t>
      </w:r>
      <w:r w:rsidR="009143D3">
        <w:rPr>
          <w:b/>
          <w:i/>
          <w:lang w:val="de-DE"/>
        </w:rPr>
        <w:t>2020</w:t>
      </w:r>
      <w:r w:rsidR="008C06C8" w:rsidRPr="007F5FA6">
        <w:rPr>
          <w:b/>
          <w:i/>
          <w:lang w:val="de-DE"/>
        </w:rPr>
        <w:t xml:space="preserve"> </w:t>
      </w:r>
      <w:r w:rsidR="000670AB" w:rsidRPr="007F5FA6">
        <w:rPr>
          <w:b/>
          <w:i/>
          <w:lang w:val="de-DE"/>
        </w:rPr>
        <w:t>–</w:t>
      </w:r>
      <w:r w:rsidR="006B6B31" w:rsidRPr="007F5FA6">
        <w:rPr>
          <w:b/>
          <w:lang w:val="de-DE"/>
        </w:rPr>
        <w:t xml:space="preserve"> </w:t>
      </w:r>
      <w:r w:rsidR="00E90D67" w:rsidRPr="00E11786">
        <w:rPr>
          <w:b/>
          <w:lang w:val="de-DE"/>
        </w:rPr>
        <w:t xml:space="preserve">Insbesondere die Kultur- und Kunstszene stand durch das </w:t>
      </w:r>
      <w:proofErr w:type="spellStart"/>
      <w:r w:rsidR="00E90D67" w:rsidRPr="00E11786">
        <w:rPr>
          <w:b/>
          <w:lang w:val="de-DE"/>
        </w:rPr>
        <w:t>Coronavirus</w:t>
      </w:r>
      <w:proofErr w:type="spellEnd"/>
      <w:r w:rsidR="00E90D67" w:rsidRPr="00E11786">
        <w:rPr>
          <w:b/>
          <w:lang w:val="de-DE"/>
        </w:rPr>
        <w:t xml:space="preserve"> wochenlang still. Inzwischen dürfen Spielstätten wieder öffnen – unter bestimmten Auflagen zu Hygienemaßnahmen und Abstandsregelungen. Für viele Theater bedeutet das, neue Konzepte und Formate zu entwickeln, wie der Spielbetrieb in Zukunft aussehen kann. Dazu gehört auch, über entsprechende Konzepte zur Soundtechnik nachzudenken</w:t>
      </w:r>
      <w:r w:rsidR="00A9598E">
        <w:rPr>
          <w:b/>
          <w:lang w:val="de-DE"/>
        </w:rPr>
        <w:t xml:space="preserve">. </w:t>
      </w:r>
      <w:r w:rsidR="00E11786" w:rsidRPr="007F5FA6">
        <w:rPr>
          <w:b/>
          <w:lang w:val="de-DE"/>
        </w:rPr>
        <w:t xml:space="preserve">In Theatern </w:t>
      </w:r>
      <w:r w:rsidR="00A9598E">
        <w:rPr>
          <w:b/>
          <w:lang w:val="de-DE"/>
        </w:rPr>
        <w:t>jeder</w:t>
      </w:r>
      <w:r w:rsidR="00E11786" w:rsidRPr="007F5FA6">
        <w:rPr>
          <w:b/>
          <w:lang w:val="de-DE"/>
        </w:rPr>
        <w:t xml:space="preserve"> Ausrichtung und Größe ist Sennheiser seit Jahrzehnten </w:t>
      </w:r>
      <w:r w:rsidR="00E11786">
        <w:rPr>
          <w:b/>
          <w:lang w:val="de-DE"/>
        </w:rPr>
        <w:t>bekannt</w:t>
      </w:r>
      <w:r w:rsidR="00E11786" w:rsidRPr="007F5FA6">
        <w:rPr>
          <w:b/>
          <w:lang w:val="de-DE"/>
        </w:rPr>
        <w:t xml:space="preserve"> und neben kabelgebundenen Mikrofonen wird von erfahrenen Tonmeistern insbesondere die Drahtlostechnik des Audiospezialisten geschätzt.</w:t>
      </w:r>
      <w:r w:rsidR="00E11786">
        <w:rPr>
          <w:b/>
          <w:lang w:val="de-DE"/>
        </w:rPr>
        <w:t xml:space="preserve"> </w:t>
      </w:r>
      <w:r w:rsidR="00E11786" w:rsidRPr="00871B54">
        <w:rPr>
          <w:b/>
          <w:lang w:val="de-DE"/>
        </w:rPr>
        <w:t xml:space="preserve">Per Witte, Business </w:t>
      </w:r>
      <w:proofErr w:type="spellStart"/>
      <w:r w:rsidR="00E11786" w:rsidRPr="00871B54">
        <w:rPr>
          <w:b/>
          <w:lang w:val="de-DE"/>
        </w:rPr>
        <w:t>Specialist</w:t>
      </w:r>
      <w:proofErr w:type="spellEnd"/>
      <w:r w:rsidR="00E11786" w:rsidRPr="00871B54">
        <w:rPr>
          <w:b/>
          <w:lang w:val="de-DE"/>
        </w:rPr>
        <w:t xml:space="preserve"> </w:t>
      </w:r>
      <w:proofErr w:type="spellStart"/>
      <w:r w:rsidR="00E11786" w:rsidRPr="00871B54">
        <w:rPr>
          <w:b/>
          <w:lang w:val="de-DE"/>
        </w:rPr>
        <w:t>Theatre</w:t>
      </w:r>
      <w:proofErr w:type="spellEnd"/>
      <w:r w:rsidR="00E11786" w:rsidRPr="00871B54">
        <w:rPr>
          <w:b/>
          <w:lang w:val="de-DE"/>
        </w:rPr>
        <w:t xml:space="preserve"> bei Sennheiser</w:t>
      </w:r>
      <w:r w:rsidR="00E11786">
        <w:rPr>
          <w:b/>
          <w:lang w:val="de-DE"/>
        </w:rPr>
        <w:t>,</w:t>
      </w:r>
      <w:r w:rsidR="00E11786" w:rsidRPr="00871B54">
        <w:rPr>
          <w:b/>
          <w:lang w:val="de-DE"/>
        </w:rPr>
        <w:t xml:space="preserve"> und </w:t>
      </w:r>
      <w:r w:rsidR="00E11786">
        <w:rPr>
          <w:b/>
          <w:lang w:val="de-DE"/>
        </w:rPr>
        <w:t>Diplom-</w:t>
      </w:r>
      <w:r w:rsidR="00E11786" w:rsidRPr="00871B54">
        <w:rPr>
          <w:b/>
          <w:lang w:val="de-DE"/>
        </w:rPr>
        <w:t>Tonmeister</w:t>
      </w:r>
      <w:r w:rsidR="00E11786">
        <w:rPr>
          <w:b/>
          <w:lang w:val="de-DE"/>
        </w:rPr>
        <w:t xml:space="preserve"> </w:t>
      </w:r>
      <w:r w:rsidR="00E11786" w:rsidRPr="00871B54">
        <w:rPr>
          <w:b/>
          <w:lang w:val="de-DE"/>
        </w:rPr>
        <w:t>erklärt</w:t>
      </w:r>
      <w:r w:rsidR="00E11786">
        <w:rPr>
          <w:b/>
          <w:lang w:val="de-DE"/>
        </w:rPr>
        <w:t xml:space="preserve">, warum das Drahtlossystem Digital 6000 für Theater </w:t>
      </w:r>
      <w:r w:rsidR="001C1F30">
        <w:rPr>
          <w:b/>
          <w:lang w:val="de-DE"/>
        </w:rPr>
        <w:t xml:space="preserve">so </w:t>
      </w:r>
      <w:r w:rsidR="00E11786">
        <w:rPr>
          <w:b/>
          <w:lang w:val="de-DE"/>
        </w:rPr>
        <w:t>geeignet ist</w:t>
      </w:r>
      <w:r w:rsidR="001A123E">
        <w:rPr>
          <w:b/>
          <w:lang w:val="de-DE"/>
        </w:rPr>
        <w:t xml:space="preserve"> und </w:t>
      </w:r>
      <w:r w:rsidR="001C1F30">
        <w:rPr>
          <w:b/>
          <w:lang w:val="de-DE"/>
        </w:rPr>
        <w:t>dadurch</w:t>
      </w:r>
      <w:r w:rsidR="000F0EC9">
        <w:rPr>
          <w:b/>
          <w:lang w:val="de-DE"/>
        </w:rPr>
        <w:t xml:space="preserve"> eine</w:t>
      </w:r>
      <w:r w:rsidR="001A123E" w:rsidRPr="00E11786">
        <w:rPr>
          <w:b/>
          <w:lang w:val="de-DE"/>
        </w:rPr>
        <w:t xml:space="preserve"> hervorragende Tonqualität für den Vorstellungsbetrieb sicher</w:t>
      </w:r>
      <w:r w:rsidR="000F0EC9">
        <w:rPr>
          <w:b/>
          <w:lang w:val="de-DE"/>
        </w:rPr>
        <w:t>gestellt werden kann</w:t>
      </w:r>
      <w:r w:rsidR="001C1F30">
        <w:rPr>
          <w:b/>
          <w:lang w:val="de-DE"/>
        </w:rPr>
        <w:t>. </w:t>
      </w:r>
    </w:p>
    <w:p w14:paraId="69EC4374" w14:textId="77777777" w:rsidR="007F5FA6" w:rsidRPr="00871B54" w:rsidRDefault="007F5FA6" w:rsidP="007F5FA6">
      <w:pPr>
        <w:rPr>
          <w:b/>
          <w:lang w:val="de-DE"/>
        </w:rPr>
      </w:pPr>
    </w:p>
    <w:p w14:paraId="21D2BAE4" w14:textId="071CF0A3" w:rsidR="00BF429E" w:rsidRDefault="007F5FA6" w:rsidP="007F5FA6">
      <w:pPr>
        <w:rPr>
          <w:lang w:val="de-DE"/>
        </w:rPr>
      </w:pPr>
      <w:r w:rsidRPr="007F5FA6">
        <w:rPr>
          <w:lang w:val="de-DE"/>
        </w:rPr>
        <w:t>Obwohl bewährte analoge Wireless-Systeme in vielen Zusammenhängen weiterhin ihre Berechtigung besitzen, setzen viele Theater inzwischen auf digitale Drahtloskonzepte. Auf Sennheiser Digital 6000 Systeme (EM 6000 Doppelempfänger, SKM 6000 Handsender, SK 6000/6212 Taschensender, L 6000 Ladestationen) mit dem Qualitätssiegel „Made in Germany“ vertrauen das Hessische Staatstheater Wiesbaden (54 Strecken), Theater &amp; Philharmonie Thüringen/Landestheater Altenburg (48 Kanäle), Staatsoperette Dresden (40 Strecken), die Münchner Kammerspiele (20 Kanäle) und viele weitere Häuser. Auch erfolgreiche Musical-Produktionen wie „</w:t>
      </w:r>
      <w:proofErr w:type="spellStart"/>
      <w:r w:rsidRPr="007F5FA6">
        <w:rPr>
          <w:lang w:val="de-DE"/>
        </w:rPr>
        <w:t>Starlight</w:t>
      </w:r>
      <w:proofErr w:type="spellEnd"/>
      <w:r w:rsidRPr="007F5FA6">
        <w:rPr>
          <w:lang w:val="de-DE"/>
        </w:rPr>
        <w:t xml:space="preserve"> Express“ (26 Strecken) oder die europäische Tournee-Adaption von „Bodyguard“ (44 Kanäle) verlassen sich auf das digitale </w:t>
      </w:r>
      <w:r w:rsidR="000A7C83">
        <w:rPr>
          <w:lang w:val="de-DE"/>
        </w:rPr>
        <w:t xml:space="preserve">Drahtlossystem von </w:t>
      </w:r>
      <w:r w:rsidRPr="007F5FA6">
        <w:rPr>
          <w:lang w:val="de-DE"/>
        </w:rPr>
        <w:t>Sennheiser.</w:t>
      </w:r>
    </w:p>
    <w:p w14:paraId="07F2CCD5" w14:textId="26ADC032" w:rsidR="007F5FA6" w:rsidRDefault="007F5FA6" w:rsidP="007F5FA6">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4111"/>
        <w:gridCol w:w="3759"/>
      </w:tblGrid>
      <w:tr w:rsidR="00EB3AE5" w:rsidRPr="00117089" w14:paraId="795EA009" w14:textId="77777777" w:rsidTr="00177E20">
        <w:tc>
          <w:tcPr>
            <w:tcW w:w="4111" w:type="dxa"/>
          </w:tcPr>
          <w:p w14:paraId="0FEA9767" w14:textId="77777777" w:rsidR="00EB3AE5" w:rsidRDefault="00EB3AE5" w:rsidP="00177E20">
            <w:r>
              <w:rPr>
                <w:noProof/>
                <w:lang w:val="de-DE" w:eastAsia="de-DE"/>
              </w:rPr>
              <w:drawing>
                <wp:inline distT="0" distB="0" distL="0" distR="0" wp14:anchorId="3E2E6FBB" wp14:editId="16813985">
                  <wp:extent cx="2520000" cy="16800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Unbenannt-1.jpg"/>
                          <pic:cNvPicPr/>
                        </pic:nvPicPr>
                        <pic:blipFill>
                          <a:blip r:embed="rId12"/>
                          <a:stretch>
                            <a:fillRect/>
                          </a:stretch>
                        </pic:blipFill>
                        <pic:spPr>
                          <a:xfrm>
                            <a:off x="0" y="0"/>
                            <a:ext cx="2520000" cy="1680000"/>
                          </a:xfrm>
                          <a:prstGeom prst="rect">
                            <a:avLst/>
                          </a:prstGeom>
                        </pic:spPr>
                      </pic:pic>
                    </a:graphicData>
                  </a:graphic>
                </wp:inline>
              </w:drawing>
            </w:r>
          </w:p>
        </w:tc>
        <w:tc>
          <w:tcPr>
            <w:tcW w:w="3759" w:type="dxa"/>
          </w:tcPr>
          <w:p w14:paraId="35BEF235" w14:textId="77777777" w:rsidR="00EB3AE5" w:rsidRPr="005A1164" w:rsidRDefault="00EB3AE5" w:rsidP="00177E20">
            <w:pPr>
              <w:pStyle w:val="Beschriftung"/>
              <w:rPr>
                <w:lang w:val="de-DE"/>
              </w:rPr>
            </w:pPr>
            <w:r>
              <w:rPr>
                <w:lang w:val="de-DE"/>
              </w:rPr>
              <w:t>Die Komponenten der Sennheiser Digital 6000 Serie können für jede Spielstätte individuell und flexibel zusammengestellt werden</w:t>
            </w:r>
          </w:p>
        </w:tc>
      </w:tr>
    </w:tbl>
    <w:p w14:paraId="6076F7CB" w14:textId="77777777" w:rsidR="00EB3AE5" w:rsidRDefault="00EB3AE5" w:rsidP="007F5FA6">
      <w:pPr>
        <w:rPr>
          <w:lang w:val="de-DE"/>
        </w:rPr>
      </w:pPr>
    </w:p>
    <w:p w14:paraId="707C849B" w14:textId="77777777" w:rsidR="00117089" w:rsidRDefault="00117089" w:rsidP="007F5FA6">
      <w:pPr>
        <w:rPr>
          <w:b/>
          <w:lang w:val="de-DE"/>
        </w:rPr>
      </w:pPr>
    </w:p>
    <w:p w14:paraId="71E19BD0" w14:textId="77777777" w:rsidR="007F5FA6" w:rsidRPr="007F5FA6" w:rsidRDefault="007F5FA6" w:rsidP="007F5FA6">
      <w:pPr>
        <w:rPr>
          <w:b/>
          <w:lang w:val="de-DE"/>
        </w:rPr>
      </w:pPr>
      <w:r w:rsidRPr="007F5FA6">
        <w:rPr>
          <w:b/>
          <w:lang w:val="de-DE"/>
        </w:rPr>
        <w:lastRenderedPageBreak/>
        <w:t>Hohe Spektraleffizienz – und noch viel mehr …</w:t>
      </w:r>
    </w:p>
    <w:p w14:paraId="5E159756" w14:textId="2CE0CEB6" w:rsidR="00277F1B" w:rsidRDefault="007F5FA6" w:rsidP="007F5FA6">
      <w:pPr>
        <w:rPr>
          <w:lang w:val="de-DE"/>
        </w:rPr>
      </w:pPr>
      <w:r w:rsidRPr="007F5FA6">
        <w:rPr>
          <w:lang w:val="de-DE"/>
        </w:rPr>
        <w:t xml:space="preserve">„Treibender Motor für eine Umrüstung auf digitale Sennheiser Drahtlosstrecken ist - nicht nur in Theatern </w:t>
      </w:r>
      <w:r w:rsidR="00277F1B">
        <w:rPr>
          <w:lang w:val="de-DE"/>
        </w:rPr>
        <w:t>–</w:t>
      </w:r>
      <w:r w:rsidRPr="007F5FA6">
        <w:rPr>
          <w:lang w:val="de-DE"/>
        </w:rPr>
        <w:t xml:space="preserve"> die hohe Spektraleffizienz“, erläutert Diplom-Tonmeister Per Witte, der bei Sennheiser die Funktion des „Business </w:t>
      </w:r>
      <w:proofErr w:type="spellStart"/>
      <w:r w:rsidRPr="007F5FA6">
        <w:rPr>
          <w:lang w:val="de-DE"/>
        </w:rPr>
        <w:t>Specialist</w:t>
      </w:r>
      <w:proofErr w:type="spellEnd"/>
      <w:r w:rsidRPr="007F5FA6">
        <w:rPr>
          <w:lang w:val="de-DE"/>
        </w:rPr>
        <w:t xml:space="preserve"> </w:t>
      </w:r>
      <w:proofErr w:type="spellStart"/>
      <w:r w:rsidRPr="007F5FA6">
        <w:rPr>
          <w:lang w:val="de-DE"/>
        </w:rPr>
        <w:t>Theatre</w:t>
      </w:r>
      <w:proofErr w:type="spellEnd"/>
      <w:r w:rsidRPr="007F5FA6">
        <w:rPr>
          <w:lang w:val="de-DE"/>
        </w:rPr>
        <w:t xml:space="preserve">“ bekleidet. „Als Konsequenz aus den Digitalen Dividenden müssen immer mehr drahtlose Übertragungskanäle in immer weniger verfügbarem Spektrum untergebracht werden. Losgelöst von diesem Aspekt überzeugen digitale Sennheiser Drahtlossysteme Tonmeisterohren allerdings auch mit einem gegenüber ihren analogen Pendants nochmals hörbar verbesserten Klang. Auch das Handling wird durch die Möglichkeit zur nahtlosen Einbindung in vorhandene Netzwerk-Infrastrukturen vereinfacht.“ Im Zusammenhang mit der Netzwerkthematik verweist Per Witte auf die am EM 6000 Empfänger vorhandenen Dante-Anschlüsse: Zwei RJ45-Schnittstellen sind auf der Geräterückseite als Primary- und </w:t>
      </w:r>
      <w:proofErr w:type="spellStart"/>
      <w:r w:rsidRPr="007F5FA6">
        <w:rPr>
          <w:lang w:val="de-DE"/>
        </w:rPr>
        <w:t>Secondary</w:t>
      </w:r>
      <w:proofErr w:type="spellEnd"/>
      <w:r w:rsidRPr="007F5FA6">
        <w:rPr>
          <w:lang w:val="de-DE"/>
        </w:rPr>
        <w:t>-Port verfügbar, was eine redundante Anbindung ermöglicht.</w:t>
      </w:r>
    </w:p>
    <w:p w14:paraId="69AEC23C" w14:textId="77777777" w:rsidR="007F5FA6" w:rsidRPr="007F5FA6" w:rsidRDefault="007F5FA6" w:rsidP="007F5FA6">
      <w:pPr>
        <w:rPr>
          <w:lang w:val="de-DE"/>
        </w:rPr>
      </w:pPr>
    </w:p>
    <w:p w14:paraId="2654CC86" w14:textId="0B26AC5B" w:rsidR="007F5FA6" w:rsidRDefault="007F5FA6" w:rsidP="007F5FA6">
      <w:pPr>
        <w:rPr>
          <w:lang w:val="de-DE"/>
        </w:rPr>
      </w:pPr>
      <w:r w:rsidRPr="007F5FA6">
        <w:rPr>
          <w:lang w:val="de-DE"/>
        </w:rPr>
        <w:t xml:space="preserve">Ein handfester Vorteil der Sennheiser Digital 6000 Systeme besteht darin, dass bereits vorhandene Infrastruktur von der Audioverkabelung über die an die Taschensender anzuschließenden Mikrofone (dreipoliger </w:t>
      </w:r>
      <w:proofErr w:type="spellStart"/>
      <w:r w:rsidRPr="007F5FA6">
        <w:rPr>
          <w:lang w:val="de-DE"/>
        </w:rPr>
        <w:t>Lemo</w:t>
      </w:r>
      <w:proofErr w:type="spellEnd"/>
      <w:r w:rsidRPr="007F5FA6">
        <w:rPr>
          <w:lang w:val="de-DE"/>
        </w:rPr>
        <w:t xml:space="preserve"> NF-Connector) bis zur Antennentechnik (z. B. aktive Breitband-Richtantennen des Typs AD 3700) mit den digitalen Systemen weiterhin genutzt werden kann, wodurch ein schneller Austausch während einer laufenden Spielzeit möglich ist – falls erforderlich sogar über Nacht!</w:t>
      </w:r>
    </w:p>
    <w:p w14:paraId="65AECB7D" w14:textId="77777777" w:rsidR="00277F1B" w:rsidRDefault="00277F1B" w:rsidP="00277F1B">
      <w:pPr>
        <w:spacing w:line="240" w:lineRule="auto"/>
        <w:rPr>
          <w:lang w:val="de-DE"/>
        </w:rPr>
      </w:pPr>
    </w:p>
    <w:tbl>
      <w:tblPr>
        <w:tblStyle w:val="Tabellenraster"/>
        <w:tblpPr w:leftFromText="141" w:rightFromText="141" w:vertAnchor="text" w:horzAnchor="margin" w:tblpY="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807"/>
        <w:gridCol w:w="4073"/>
      </w:tblGrid>
      <w:tr w:rsidR="00277F1B" w14:paraId="22C1BFF9" w14:textId="77777777" w:rsidTr="00277F1B">
        <w:tc>
          <w:tcPr>
            <w:tcW w:w="3807" w:type="dxa"/>
          </w:tcPr>
          <w:p w14:paraId="2C2604B6" w14:textId="1AC8BC74" w:rsidR="00277F1B" w:rsidRDefault="004140FB" w:rsidP="00277F1B">
            <w:pPr>
              <w:pStyle w:val="Beschriftung"/>
              <w:rPr>
                <w:lang w:val="de-DE"/>
              </w:rPr>
            </w:pPr>
            <w:r w:rsidRPr="004140FB">
              <w:rPr>
                <w:lang w:val="de-DE"/>
              </w:rPr>
              <w:t xml:space="preserve">Per Witte, Business </w:t>
            </w:r>
            <w:proofErr w:type="spellStart"/>
            <w:r w:rsidRPr="004140FB">
              <w:rPr>
                <w:lang w:val="de-DE"/>
              </w:rPr>
              <w:t>Specialist</w:t>
            </w:r>
            <w:proofErr w:type="spellEnd"/>
            <w:r w:rsidRPr="004140FB">
              <w:rPr>
                <w:lang w:val="de-DE"/>
              </w:rPr>
              <w:t xml:space="preserve"> </w:t>
            </w:r>
            <w:proofErr w:type="spellStart"/>
            <w:r w:rsidRPr="004140FB">
              <w:rPr>
                <w:lang w:val="de-DE"/>
              </w:rPr>
              <w:t>Theatre</w:t>
            </w:r>
            <w:proofErr w:type="spellEnd"/>
            <w:r w:rsidRPr="004140FB">
              <w:rPr>
                <w:lang w:val="de-DE"/>
              </w:rPr>
              <w:t xml:space="preserve"> bei Sennheiser</w:t>
            </w:r>
            <w:r>
              <w:rPr>
                <w:lang w:val="de-DE"/>
              </w:rPr>
              <w:t>,</w:t>
            </w:r>
            <w:r w:rsidRPr="004140FB">
              <w:rPr>
                <w:lang w:val="de-DE"/>
              </w:rPr>
              <w:t xml:space="preserve"> und Diplom-Tonmeister</w:t>
            </w:r>
            <w:r w:rsidR="001C1F30">
              <w:rPr>
                <w:lang w:val="de-DE"/>
              </w:rPr>
              <w:t>, zeigt, wie klein der Taschensender SK 6212 ist</w:t>
            </w:r>
          </w:p>
        </w:tc>
        <w:tc>
          <w:tcPr>
            <w:tcW w:w="4073" w:type="dxa"/>
          </w:tcPr>
          <w:p w14:paraId="498F8A84" w14:textId="77777777" w:rsidR="00277F1B" w:rsidRDefault="00277F1B" w:rsidP="00277F1B">
            <w:pPr>
              <w:rPr>
                <w:lang w:val="de-DE"/>
              </w:rPr>
            </w:pPr>
            <w:r>
              <w:rPr>
                <w:noProof/>
                <w:lang w:val="de-DE" w:eastAsia="de-DE"/>
              </w:rPr>
              <w:drawing>
                <wp:inline distT="0" distB="0" distL="0" distR="0" wp14:anchorId="7DEE7B03" wp14:editId="133DC9AA">
                  <wp:extent cx="2514896" cy="1678827"/>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49dsobotta\Pictures\Active Blue\G4 (2).jpg"/>
                          <pic:cNvPicPr>
                            <a:picLocks noChangeAspect="1" noChangeArrowheads="1"/>
                          </pic:cNvPicPr>
                        </pic:nvPicPr>
                        <pic:blipFill>
                          <a:blip r:embed="rId13"/>
                          <a:stretch>
                            <a:fillRect/>
                          </a:stretch>
                        </pic:blipFill>
                        <pic:spPr bwMode="auto">
                          <a:xfrm>
                            <a:off x="0" y="0"/>
                            <a:ext cx="2514896" cy="1678827"/>
                          </a:xfrm>
                          <a:prstGeom prst="rect">
                            <a:avLst/>
                          </a:prstGeom>
                          <a:noFill/>
                          <a:ln>
                            <a:noFill/>
                          </a:ln>
                        </pic:spPr>
                      </pic:pic>
                    </a:graphicData>
                  </a:graphic>
                </wp:inline>
              </w:drawing>
            </w:r>
          </w:p>
        </w:tc>
      </w:tr>
    </w:tbl>
    <w:p w14:paraId="6EA51DEB" w14:textId="77777777" w:rsidR="007F5FA6" w:rsidRPr="007F5FA6" w:rsidRDefault="007F5FA6" w:rsidP="007F5FA6">
      <w:pPr>
        <w:rPr>
          <w:lang w:val="de-DE"/>
        </w:rPr>
      </w:pPr>
    </w:p>
    <w:p w14:paraId="5F822132" w14:textId="4F79A932" w:rsidR="007F5FA6" w:rsidRDefault="007F5FA6" w:rsidP="007F5FA6">
      <w:pPr>
        <w:rPr>
          <w:lang w:val="de-DE"/>
        </w:rPr>
      </w:pPr>
      <w:r w:rsidRPr="007F5FA6">
        <w:rPr>
          <w:lang w:val="de-DE"/>
        </w:rPr>
        <w:t>Eine weitere Konstante ist die Möglichkeit zur Fernsteuerung und Überwachung der Sennheiser Digital 6000 Systeme mithilfe der WSM-Software: Parameter wie HF- und NF-Pegel sowie die Ladezustände der Akkus lassen sich mit dem Wireless System Manager an jedem gewünschten Ort unangestrengt im Auge behalten.</w:t>
      </w:r>
    </w:p>
    <w:p w14:paraId="095CC181" w14:textId="5B687DA7" w:rsidR="007F5FA6" w:rsidRDefault="007F5FA6" w:rsidP="007F5FA6">
      <w:pPr>
        <w:rPr>
          <w:lang w:val="de-DE"/>
        </w:rPr>
      </w:pPr>
    </w:p>
    <w:p w14:paraId="147AC89B" w14:textId="77777777" w:rsidR="007F5FA6" w:rsidRPr="007F5FA6" w:rsidRDefault="007F5FA6" w:rsidP="007F5FA6">
      <w:pPr>
        <w:rPr>
          <w:b/>
          <w:lang w:val="de-DE"/>
        </w:rPr>
      </w:pPr>
      <w:bookmarkStart w:id="2" w:name="_GoBack"/>
      <w:bookmarkEnd w:id="2"/>
      <w:r w:rsidRPr="007F5FA6">
        <w:rPr>
          <w:b/>
          <w:lang w:val="de-DE"/>
        </w:rPr>
        <w:lastRenderedPageBreak/>
        <w:t>Intermodulationsfreier Betrieb ohne aufwändige Berechnungen</w:t>
      </w:r>
    </w:p>
    <w:p w14:paraId="456EA7EB" w14:textId="6FA3DC2E" w:rsidR="007F5FA6" w:rsidRPr="007F5FA6" w:rsidRDefault="007F5FA6" w:rsidP="007F5FA6">
      <w:pPr>
        <w:rPr>
          <w:lang w:val="de-DE"/>
        </w:rPr>
      </w:pPr>
      <w:r w:rsidRPr="007F5FA6">
        <w:rPr>
          <w:lang w:val="de-DE"/>
        </w:rPr>
        <w:t xml:space="preserve">Zu den besonderen Vorzügen, welche die Sennheiser Digital 6000 Systeme von </w:t>
      </w:r>
      <w:r w:rsidR="00B363E5">
        <w:rPr>
          <w:lang w:val="de-DE"/>
        </w:rPr>
        <w:t>Lösungen</w:t>
      </w:r>
      <w:r w:rsidRPr="007F5FA6">
        <w:rPr>
          <w:lang w:val="de-DE"/>
        </w:rPr>
        <w:t xml:space="preserve"> anderer Marktteilnehmer abheben, gehört der vollständig intermodulationsfreie Betrieb. Dank ausgeklügelter Sennheiser Technologie können bei Digital 6000 Systemen Übertragungsfrequenzen einfach in gleichen Abständen („äquidistantes Raster“) zueinander angeordnet werden, ohne dass eine aufwändige Berechnung erforderlich ist </w:t>
      </w:r>
      <w:r w:rsidR="00277F1B">
        <w:rPr>
          <w:lang w:val="de-DE"/>
        </w:rPr>
        <w:t>–</w:t>
      </w:r>
      <w:r w:rsidRPr="007F5FA6">
        <w:rPr>
          <w:lang w:val="de-DE"/>
        </w:rPr>
        <w:t xml:space="preserve"> analoge wie digitale Drahtlosanlagen internationaler Mitbewerber müssen in diesem Punkt bislang passen. </w:t>
      </w:r>
    </w:p>
    <w:p w14:paraId="12556125" w14:textId="77777777" w:rsidR="00117089" w:rsidRDefault="00117089" w:rsidP="007F5FA6">
      <w:pPr>
        <w:rPr>
          <w:lang w:val="de-DE"/>
        </w:rPr>
      </w:pPr>
    </w:p>
    <w:p w14:paraId="412CB265" w14:textId="245D9E41" w:rsidR="007F5FA6" w:rsidRDefault="007F5FA6" w:rsidP="007F5FA6">
      <w:pPr>
        <w:rPr>
          <w:lang w:val="de-DE"/>
        </w:rPr>
      </w:pPr>
      <w:r w:rsidRPr="007F5FA6">
        <w:rPr>
          <w:lang w:val="de-DE"/>
        </w:rPr>
        <w:t xml:space="preserve">Während Sennheiser als „robuste Lösung“ offiziell Abstände von 600 kHz zwischen den Trägerfrequenzen empfiehlt, ist bei Frequenzknappheit auch ein in der Praxis bereits vielfach erfolgreich eingesetztes </w:t>
      </w:r>
      <w:proofErr w:type="spellStart"/>
      <w:r w:rsidRPr="007F5FA6">
        <w:rPr>
          <w:lang w:val="de-DE"/>
        </w:rPr>
        <w:t>Spacing</w:t>
      </w:r>
      <w:proofErr w:type="spellEnd"/>
      <w:r w:rsidRPr="007F5FA6">
        <w:rPr>
          <w:lang w:val="de-DE"/>
        </w:rPr>
        <w:t xml:space="preserve"> mit 400 kHz möglich. Mathematik kann mitunter einfach sein: 20 Kanäle in 8 MHz (also einem TV-Kanal), 40 Kanäle in 16 MHz, 100 Kanäle in 40 MHz. Alle anderen derzeit am Markt verfügbaren Wireless-Systeme erfordern bei hohen Kanalzahlen den Einsatz komplexer Frequenzberechnungsprogramme und belegen bei einer Verdopplung der Übertragungsfrequenzen nicht lediglich einen um den Faktor 2 erhöhten Anteil des Spektrums, sondern verlangen stattdessen nach ganz erheblich mehr Bandbreite.</w:t>
      </w:r>
    </w:p>
    <w:p w14:paraId="368CF549" w14:textId="77777777" w:rsidR="007F5FA6" w:rsidRPr="007F5FA6" w:rsidRDefault="007F5FA6" w:rsidP="007F5FA6">
      <w:pPr>
        <w:rPr>
          <w:lang w:val="de-DE"/>
        </w:rPr>
      </w:pPr>
    </w:p>
    <w:p w14:paraId="52A95951" w14:textId="58AACAE8" w:rsidR="007F5FA6" w:rsidRDefault="007F5FA6" w:rsidP="007F5FA6">
      <w:pPr>
        <w:rPr>
          <w:lang w:val="de-DE"/>
        </w:rPr>
      </w:pPr>
      <w:r w:rsidRPr="007F5FA6">
        <w:rPr>
          <w:lang w:val="de-DE"/>
        </w:rPr>
        <w:t xml:space="preserve">Wichtiges Detail: Im Gegensatz zu von Mitbewerbern entwickelten Verfahren muss die Sendeleistung bei einem engen </w:t>
      </w:r>
      <w:proofErr w:type="spellStart"/>
      <w:r w:rsidRPr="007F5FA6">
        <w:rPr>
          <w:lang w:val="de-DE"/>
        </w:rPr>
        <w:t>Spacing</w:t>
      </w:r>
      <w:proofErr w:type="spellEnd"/>
      <w:r w:rsidRPr="007F5FA6">
        <w:rPr>
          <w:lang w:val="de-DE"/>
        </w:rPr>
        <w:t xml:space="preserve"> nicht reduziert werden - maximale Spektraleffizienz bei überragender Signalstabilität ist in Zeiten zunehmender Frequenzknappheit ein großer Vorteil.</w:t>
      </w:r>
    </w:p>
    <w:p w14:paraId="2B371ADF" w14:textId="42F9F77B" w:rsidR="007F5FA6" w:rsidRDefault="007F5FA6" w:rsidP="007F5FA6">
      <w:pPr>
        <w:rPr>
          <w:lang w:val="de-DE"/>
        </w:rPr>
      </w:pPr>
    </w:p>
    <w:p w14:paraId="078801DD" w14:textId="77777777" w:rsidR="007F5FA6" w:rsidRPr="007F5FA6" w:rsidRDefault="007F5FA6" w:rsidP="007F5FA6">
      <w:pPr>
        <w:rPr>
          <w:b/>
          <w:lang w:val="de-DE"/>
        </w:rPr>
      </w:pPr>
      <w:r w:rsidRPr="007F5FA6">
        <w:rPr>
          <w:b/>
          <w:lang w:val="de-DE"/>
        </w:rPr>
        <w:t>Erstklassiger Klang auch bei kritischen Schallereignissen</w:t>
      </w:r>
    </w:p>
    <w:p w14:paraId="0A97F717" w14:textId="5E3B76ED" w:rsidR="007F5FA6" w:rsidRDefault="007F5FA6" w:rsidP="007F5FA6">
      <w:pPr>
        <w:rPr>
          <w:lang w:val="de-DE"/>
        </w:rPr>
      </w:pPr>
      <w:r w:rsidRPr="007F5FA6">
        <w:rPr>
          <w:lang w:val="de-DE"/>
        </w:rPr>
        <w:t xml:space="preserve">Bei aller Begeisterung über die technischen Features der Digital 6000 Systeme sollte nicht vergessen werden, dass die digitalen Sennheiser Drahtloslösungen auch in puncto Klang restlos zu überzeugen verstehen: Der Wegfall des technisch nicht mehr notwendigen </w:t>
      </w:r>
      <w:proofErr w:type="spellStart"/>
      <w:r w:rsidRPr="007F5FA6">
        <w:rPr>
          <w:lang w:val="de-DE"/>
        </w:rPr>
        <w:t>Kompanders</w:t>
      </w:r>
      <w:proofErr w:type="spellEnd"/>
      <w:r w:rsidRPr="007F5FA6">
        <w:rPr>
          <w:lang w:val="de-DE"/>
        </w:rPr>
        <w:t xml:space="preserve"> führt unter anderem zu einer gesteigerten Dynamik, und auch das Ansprechverhalten konnte weiter verbessert werden. Die herausragende Klangtreue überzeugt selbst bei kritischen </w:t>
      </w:r>
      <w:proofErr w:type="spellStart"/>
      <w:r w:rsidRPr="007F5FA6">
        <w:rPr>
          <w:lang w:val="de-DE"/>
        </w:rPr>
        <w:t>perkussiven</w:t>
      </w:r>
      <w:proofErr w:type="spellEnd"/>
      <w:r w:rsidRPr="007F5FA6">
        <w:rPr>
          <w:lang w:val="de-DE"/>
        </w:rPr>
        <w:t xml:space="preserve"> oder metallischen Signalen sowie bei anspruchsvollen Gesangs- und Sprachbeiträgen </w:t>
      </w:r>
      <w:r w:rsidR="00277F1B">
        <w:rPr>
          <w:lang w:val="de-DE"/>
        </w:rPr>
        <w:t>–</w:t>
      </w:r>
      <w:r w:rsidRPr="007F5FA6">
        <w:rPr>
          <w:lang w:val="de-DE"/>
        </w:rPr>
        <w:t xml:space="preserve"> der von Sennheiser entwickelte </w:t>
      </w:r>
      <w:proofErr w:type="spellStart"/>
      <w:r w:rsidRPr="007F5FA6">
        <w:rPr>
          <w:lang w:val="de-DE"/>
        </w:rPr>
        <w:t>SeDAC</w:t>
      </w:r>
      <w:proofErr w:type="spellEnd"/>
      <w:r w:rsidRPr="007F5FA6">
        <w:rPr>
          <w:lang w:val="de-DE"/>
        </w:rPr>
        <w:t>-Codec gilt unter „goldenen Ohren“ in puncto Sound als eine Offenbarung!</w:t>
      </w:r>
    </w:p>
    <w:p w14:paraId="79571ABB" w14:textId="1DA95E07" w:rsidR="00277F1B" w:rsidRDefault="00277F1B" w:rsidP="00277F1B">
      <w:pPr>
        <w:spacing w:line="240" w:lineRule="auto"/>
        <w:rPr>
          <w:lang w:val="de-DE"/>
        </w:rPr>
      </w:pPr>
    </w:p>
    <w:tbl>
      <w:tblPr>
        <w:tblStyle w:val="Tabellenraster"/>
        <w:tblpPr w:leftFromText="141" w:rightFromText="141" w:vertAnchor="text" w:horzAnchor="margin" w:tblpY="19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807"/>
        <w:gridCol w:w="4073"/>
      </w:tblGrid>
      <w:tr w:rsidR="00277F1B" w14:paraId="19F3F8C7" w14:textId="77777777" w:rsidTr="00177E20">
        <w:tc>
          <w:tcPr>
            <w:tcW w:w="3807" w:type="dxa"/>
          </w:tcPr>
          <w:p w14:paraId="342D85B0" w14:textId="77777777" w:rsidR="00277F1B" w:rsidRDefault="00277F1B" w:rsidP="00177E20">
            <w:pPr>
              <w:pStyle w:val="Beschriftung"/>
              <w:rPr>
                <w:lang w:val="de-DE"/>
              </w:rPr>
            </w:pPr>
            <w:r>
              <w:rPr>
                <w:lang w:val="de-DE"/>
              </w:rPr>
              <w:lastRenderedPageBreak/>
              <w:t xml:space="preserve">Auch bei kritischen Signalen und anspruchsvollen Gesangs- oder Sprachbeiträgen überzeugt </w:t>
            </w:r>
            <w:proofErr w:type="spellStart"/>
            <w:r>
              <w:rPr>
                <w:lang w:val="de-DE"/>
              </w:rPr>
              <w:t>Sennheisers</w:t>
            </w:r>
            <w:proofErr w:type="spellEnd"/>
            <w:r>
              <w:rPr>
                <w:lang w:val="de-DE"/>
              </w:rPr>
              <w:t xml:space="preserve"> Digital 6000 mit herausragender Klangtreue</w:t>
            </w:r>
          </w:p>
        </w:tc>
        <w:tc>
          <w:tcPr>
            <w:tcW w:w="4073" w:type="dxa"/>
          </w:tcPr>
          <w:p w14:paraId="516E926B" w14:textId="77777777" w:rsidR="00277F1B" w:rsidRDefault="00277F1B" w:rsidP="00177E20">
            <w:pPr>
              <w:rPr>
                <w:lang w:val="de-DE"/>
              </w:rPr>
            </w:pPr>
            <w:r>
              <w:rPr>
                <w:noProof/>
                <w:lang w:val="de-DE" w:eastAsia="de-DE"/>
              </w:rPr>
              <w:drawing>
                <wp:inline distT="0" distB="0" distL="0" distR="0" wp14:anchorId="3F9B9EF8" wp14:editId="502E5E2B">
                  <wp:extent cx="2518240" cy="1678826"/>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49dsobotta\Pictures\Active Blue\G4 (2).jpg"/>
                          <pic:cNvPicPr>
                            <a:picLocks noChangeAspect="1" noChangeArrowheads="1"/>
                          </pic:cNvPicPr>
                        </pic:nvPicPr>
                        <pic:blipFill>
                          <a:blip r:embed="rId14"/>
                          <a:stretch>
                            <a:fillRect/>
                          </a:stretch>
                        </pic:blipFill>
                        <pic:spPr bwMode="auto">
                          <a:xfrm>
                            <a:off x="0" y="0"/>
                            <a:ext cx="2518240" cy="1678826"/>
                          </a:xfrm>
                          <a:prstGeom prst="rect">
                            <a:avLst/>
                          </a:prstGeom>
                          <a:noFill/>
                          <a:ln>
                            <a:noFill/>
                          </a:ln>
                        </pic:spPr>
                      </pic:pic>
                    </a:graphicData>
                  </a:graphic>
                </wp:inline>
              </w:drawing>
            </w:r>
          </w:p>
        </w:tc>
      </w:tr>
    </w:tbl>
    <w:p w14:paraId="7F880A32" w14:textId="0E6E782E" w:rsidR="007F5FA6" w:rsidRDefault="007F5FA6" w:rsidP="007F5FA6">
      <w:pPr>
        <w:rPr>
          <w:lang w:val="de-DE"/>
        </w:rPr>
      </w:pPr>
    </w:p>
    <w:p w14:paraId="4F93DEE3" w14:textId="77777777" w:rsidR="00277F1B" w:rsidRDefault="00277F1B" w:rsidP="007F5FA6">
      <w:pPr>
        <w:rPr>
          <w:b/>
          <w:lang w:val="de-DE"/>
        </w:rPr>
      </w:pPr>
    </w:p>
    <w:p w14:paraId="37DEB856" w14:textId="77777777" w:rsidR="00277F1B" w:rsidRDefault="00277F1B" w:rsidP="007F5FA6">
      <w:pPr>
        <w:rPr>
          <w:b/>
          <w:lang w:val="de-DE"/>
        </w:rPr>
      </w:pPr>
    </w:p>
    <w:p w14:paraId="2E95BE77" w14:textId="76DA82F4" w:rsidR="007F5FA6" w:rsidRPr="007F5FA6" w:rsidRDefault="007F5FA6" w:rsidP="007F5FA6">
      <w:pPr>
        <w:rPr>
          <w:b/>
          <w:lang w:val="de-DE"/>
        </w:rPr>
      </w:pPr>
      <w:r w:rsidRPr="007F5FA6">
        <w:rPr>
          <w:b/>
          <w:lang w:val="de-DE"/>
        </w:rPr>
        <w:t>Investitionssicherheit dank enormer Schaltbandbreite</w:t>
      </w:r>
    </w:p>
    <w:bookmarkEnd w:id="0"/>
    <w:bookmarkEnd w:id="1"/>
    <w:p w14:paraId="0C5CE108" w14:textId="75454FB7" w:rsidR="00BE1B12" w:rsidRDefault="001E60C1" w:rsidP="001E60C1">
      <w:pPr>
        <w:rPr>
          <w:lang w:val="de-DE"/>
        </w:rPr>
      </w:pPr>
      <w:r w:rsidRPr="001E60C1">
        <w:rPr>
          <w:lang w:val="de-DE"/>
        </w:rPr>
        <w:t xml:space="preserve">Im Oktober/November 2019 fand die World </w:t>
      </w:r>
      <w:proofErr w:type="spellStart"/>
      <w:r w:rsidRPr="001E60C1">
        <w:rPr>
          <w:lang w:val="de-DE"/>
        </w:rPr>
        <w:t>Radiocommunication</w:t>
      </w:r>
      <w:proofErr w:type="spellEnd"/>
      <w:r w:rsidRPr="001E60C1">
        <w:rPr>
          <w:lang w:val="de-DE"/>
        </w:rPr>
        <w:t xml:space="preserve"> Conference (WRC) in </w:t>
      </w:r>
      <w:proofErr w:type="spellStart"/>
      <w:r w:rsidRPr="001E60C1">
        <w:rPr>
          <w:lang w:val="de-DE"/>
        </w:rPr>
        <w:t>Sharm</w:t>
      </w:r>
      <w:proofErr w:type="spellEnd"/>
      <w:r w:rsidRPr="001E60C1">
        <w:rPr>
          <w:lang w:val="de-DE"/>
        </w:rPr>
        <w:t xml:space="preserve"> </w:t>
      </w:r>
      <w:proofErr w:type="spellStart"/>
      <w:r w:rsidRPr="001E60C1">
        <w:rPr>
          <w:lang w:val="de-DE"/>
        </w:rPr>
        <w:t>El</w:t>
      </w:r>
      <w:proofErr w:type="spellEnd"/>
      <w:r w:rsidRPr="001E60C1">
        <w:rPr>
          <w:lang w:val="de-DE"/>
        </w:rPr>
        <w:t xml:space="preserve"> Sheikh statt. Dieses Mal konnten weitere Versteigerungen von Kulturfrequenzen an Mobilfunkunternehmen verhindert werden.</w:t>
      </w:r>
      <w:r w:rsidR="00E32D9B">
        <w:rPr>
          <w:lang w:val="de-DE"/>
        </w:rPr>
        <w:t xml:space="preserve"> </w:t>
      </w:r>
      <w:r w:rsidRPr="001E60C1">
        <w:rPr>
          <w:lang w:val="de-DE"/>
        </w:rPr>
        <w:t>Im Vorfeld der nächsten WRC 2023 sollen aufwändige Studien zeigen, wer das UHF-Spektrum effektiver nutzen kann. Alle Nutzer und Anwender drahtloser Mikrofone sind aufgerufen, sich im Rahmen ihrer Möglichkeiten an entsprechenden Aktivitäten ihrer Interessenverbände zu beteiligen. Die aktuell von vielen genutzten UHF-Frequenzen von 470 bis 694 MHz sind nach heutigem Stand noch für viele Jahre verfügbar. Sennheiser Digital 6000 Drahtlossysteme sind mit ihrer enormen Schaltbandbreite auf jeden Fall eine zukunftssichere Investition und für Theater die richtige Wahl!</w:t>
      </w:r>
    </w:p>
    <w:p w14:paraId="7F101B2F" w14:textId="77777777" w:rsidR="00CC5E93" w:rsidRPr="00E32D9B" w:rsidRDefault="00CC5E93" w:rsidP="001E60C1">
      <w:pPr>
        <w:rPr>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4111"/>
        <w:gridCol w:w="3759"/>
      </w:tblGrid>
      <w:tr w:rsidR="00277F1B" w:rsidRPr="00117089" w14:paraId="3BC03467" w14:textId="77777777" w:rsidTr="00177E20">
        <w:tc>
          <w:tcPr>
            <w:tcW w:w="4111" w:type="dxa"/>
          </w:tcPr>
          <w:p w14:paraId="36F99FAA" w14:textId="77777777" w:rsidR="00277F1B" w:rsidRDefault="00277F1B" w:rsidP="00177E20">
            <w:r>
              <w:rPr>
                <w:noProof/>
                <w:lang w:val="de-DE" w:eastAsia="de-DE"/>
              </w:rPr>
              <w:drawing>
                <wp:inline distT="0" distB="0" distL="0" distR="0" wp14:anchorId="57A73593" wp14:editId="44BF204B">
                  <wp:extent cx="2520000" cy="168000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Unbenannt-1.jpg"/>
                          <pic:cNvPicPr/>
                        </pic:nvPicPr>
                        <pic:blipFill>
                          <a:blip r:embed="rId15"/>
                          <a:stretch>
                            <a:fillRect/>
                          </a:stretch>
                        </pic:blipFill>
                        <pic:spPr>
                          <a:xfrm>
                            <a:off x="0" y="0"/>
                            <a:ext cx="2520000" cy="1680000"/>
                          </a:xfrm>
                          <a:prstGeom prst="rect">
                            <a:avLst/>
                          </a:prstGeom>
                        </pic:spPr>
                      </pic:pic>
                    </a:graphicData>
                  </a:graphic>
                </wp:inline>
              </w:drawing>
            </w:r>
          </w:p>
        </w:tc>
        <w:tc>
          <w:tcPr>
            <w:tcW w:w="3759" w:type="dxa"/>
          </w:tcPr>
          <w:p w14:paraId="216F0930" w14:textId="77777777" w:rsidR="00277F1B" w:rsidRPr="005A1164" w:rsidRDefault="00277F1B" w:rsidP="00177E20">
            <w:pPr>
              <w:pStyle w:val="Beschriftung"/>
              <w:rPr>
                <w:lang w:val="de-DE"/>
              </w:rPr>
            </w:pPr>
            <w:r>
              <w:rPr>
                <w:lang w:val="de-DE"/>
              </w:rPr>
              <w:t>Die Taschen- und Handsender der Digital 6000 Serie sind in drei verschiedenen Frequenzbereichen verfügbar</w:t>
            </w:r>
          </w:p>
        </w:tc>
      </w:tr>
    </w:tbl>
    <w:p w14:paraId="12ECAB3D" w14:textId="4C03319D" w:rsidR="00811F32" w:rsidRDefault="00811F32" w:rsidP="00DB1D74">
      <w:pPr>
        <w:rPr>
          <w:lang w:val="de-DE"/>
        </w:rPr>
      </w:pPr>
    </w:p>
    <w:p w14:paraId="3C9C3EA8" w14:textId="77777777" w:rsidR="00277F1B" w:rsidRDefault="00277F1B" w:rsidP="00DB1D74">
      <w:pPr>
        <w:rPr>
          <w:lang w:val="de-DE"/>
        </w:rPr>
      </w:pPr>
    </w:p>
    <w:p w14:paraId="319335AB" w14:textId="48D468EA" w:rsidR="00277F1B" w:rsidRDefault="00277F1B" w:rsidP="00DB1D74">
      <w:pPr>
        <w:rPr>
          <w:lang w:val="de-DE"/>
        </w:rPr>
      </w:pPr>
      <w:r w:rsidRPr="00277F1B">
        <w:rPr>
          <w:lang w:val="de-DE"/>
        </w:rPr>
        <w:t xml:space="preserve">Bildmaterial zu dieser Meldung finden Sie unter: </w:t>
      </w:r>
      <w:hyperlink r:id="rId16" w:history="1">
        <w:r w:rsidR="003F49EC" w:rsidRPr="00D42A28">
          <w:rPr>
            <w:rStyle w:val="Hyperlink"/>
            <w:lang w:val="de-DE"/>
          </w:rPr>
          <w:t>https://sennheiser-brandzone.com/c/1543/7jfm1wtj</w:t>
        </w:r>
      </w:hyperlink>
    </w:p>
    <w:p w14:paraId="0700869B" w14:textId="77777777" w:rsidR="003C7C1D" w:rsidRPr="003C7C1D" w:rsidRDefault="003C7C1D" w:rsidP="003C7C1D">
      <w:pPr>
        <w:pStyle w:val="About"/>
        <w:rPr>
          <w:b/>
          <w:lang w:val="de-DE"/>
        </w:rPr>
      </w:pPr>
      <w:r w:rsidRPr="003C7C1D">
        <w:rPr>
          <w:b/>
          <w:lang w:val="de-DE"/>
        </w:rPr>
        <w:lastRenderedPageBreak/>
        <w:t>Über Sennheiser</w:t>
      </w:r>
    </w:p>
    <w:p w14:paraId="3739A10F" w14:textId="79F65336" w:rsidR="00184428" w:rsidRDefault="003C7C1D" w:rsidP="003C7C1D">
      <w:pPr>
        <w:pStyle w:val="About"/>
        <w:rPr>
          <w:lang w:val="de-DE"/>
        </w:rPr>
      </w:pPr>
      <w:r w:rsidRPr="003C7C1D">
        <w:rPr>
          <w:lang w:val="de-DE"/>
        </w:rPr>
        <w:t xml:space="preserve">Die Zukunft der Audio-Welt zu gestalten und für Kunden einzigartige Sound-Erlebnisse zu schaffen – dieser Anspruch eint Sennheiser Mitarbeiter und Partner weltweit. Das 1945 gegründete Familienunternehmen ist einer der führenden Hersteller von Kopfhörern, Lautsprechern, Mikrofonen und drahtloser Übertragungstechnik. Seit 2013 leiten Daniel Sennheiser und Dr. Andreas Sennheiser das Unternehmen in der dritten Generation. Der Umsatz der Sennheiser-Gruppe lag 2018 bei 710,7 Millionen Euro. </w:t>
      </w:r>
      <w:hyperlink r:id="rId17" w:history="1">
        <w:r w:rsidR="00F308A6" w:rsidRPr="00B05814">
          <w:rPr>
            <w:rStyle w:val="Hyperlink"/>
            <w:b/>
            <w:bCs w:val="0"/>
            <w:color w:val="00B0F0"/>
            <w:u w:val="none"/>
            <w:lang w:val="de-DE"/>
          </w:rPr>
          <w:t>www.sennheiser.com</w:t>
        </w:r>
      </w:hyperlink>
    </w:p>
    <w:p w14:paraId="0BCD24E8" w14:textId="77777777" w:rsidR="00784A85" w:rsidRPr="003C7C1D" w:rsidRDefault="00784A85" w:rsidP="001E4BE7">
      <w:pPr>
        <w:pStyle w:val="About"/>
        <w:rPr>
          <w:lang w:val="de-DE"/>
        </w:rPr>
      </w:pPr>
    </w:p>
    <w:p w14:paraId="0C4F0CAF" w14:textId="787B61FC" w:rsidR="007F5FA6" w:rsidRPr="00277F1B" w:rsidRDefault="007F5FA6" w:rsidP="007F5FA6">
      <w:pPr>
        <w:pStyle w:val="Contact"/>
        <w:rPr>
          <w:b/>
          <w:noProof/>
          <w:sz w:val="18"/>
          <w:szCs w:val="18"/>
          <w:lang w:val="de-DE"/>
        </w:rPr>
      </w:pPr>
      <w:r w:rsidRPr="007F5FA6">
        <w:rPr>
          <w:b/>
          <w:noProof/>
          <w:sz w:val="18"/>
          <w:szCs w:val="18"/>
          <w:lang w:val="de-DE"/>
        </w:rPr>
        <w:t>Sennheiser Pressekontakt</w:t>
      </w:r>
    </w:p>
    <w:p w14:paraId="2ACC189E" w14:textId="77777777" w:rsidR="00B05814" w:rsidRDefault="00B05814" w:rsidP="007F5FA6">
      <w:pPr>
        <w:pStyle w:val="Contact"/>
        <w:rPr>
          <w:noProof/>
          <w:color w:val="0095D5"/>
          <w:sz w:val="18"/>
          <w:szCs w:val="18"/>
          <w:lang w:val="de-DE"/>
        </w:rPr>
      </w:pPr>
    </w:p>
    <w:p w14:paraId="4FA64108" w14:textId="224777D0" w:rsidR="007F5FA6" w:rsidRPr="007F5FA6" w:rsidRDefault="007F5FA6" w:rsidP="007F5FA6">
      <w:pPr>
        <w:pStyle w:val="Contact"/>
        <w:rPr>
          <w:noProof/>
          <w:color w:val="0095D5"/>
          <w:sz w:val="18"/>
          <w:szCs w:val="18"/>
          <w:lang w:val="de-DE"/>
        </w:rPr>
      </w:pPr>
      <w:r w:rsidRPr="007F5FA6">
        <w:rPr>
          <w:noProof/>
          <w:color w:val="0095D5"/>
          <w:sz w:val="18"/>
          <w:szCs w:val="18"/>
          <w:lang w:val="de-DE"/>
        </w:rPr>
        <w:t>Stefan Peters</w:t>
      </w:r>
      <w:r w:rsidRPr="007F5FA6">
        <w:rPr>
          <w:noProof/>
          <w:color w:val="0095D5"/>
          <w:sz w:val="18"/>
          <w:szCs w:val="18"/>
          <w:lang w:val="de-DE"/>
        </w:rPr>
        <w:tab/>
      </w:r>
    </w:p>
    <w:p w14:paraId="3819B73C" w14:textId="77777777" w:rsidR="007F5FA6" w:rsidRPr="007F5FA6" w:rsidRDefault="007F5FA6" w:rsidP="007F5FA6">
      <w:pPr>
        <w:pStyle w:val="Contact"/>
        <w:rPr>
          <w:noProof/>
          <w:sz w:val="18"/>
          <w:szCs w:val="18"/>
          <w:lang w:val="de-DE"/>
        </w:rPr>
      </w:pPr>
      <w:r w:rsidRPr="007F5FA6">
        <w:rPr>
          <w:noProof/>
          <w:sz w:val="18"/>
          <w:szCs w:val="18"/>
          <w:lang w:val="de-DE"/>
        </w:rPr>
        <w:t>stefan.peters@sennheiser.com</w:t>
      </w:r>
      <w:r w:rsidRPr="007F5FA6">
        <w:rPr>
          <w:noProof/>
          <w:sz w:val="18"/>
          <w:szCs w:val="18"/>
          <w:lang w:val="de-DE"/>
        </w:rPr>
        <w:tab/>
      </w:r>
    </w:p>
    <w:p w14:paraId="571B96A0" w14:textId="4D973EC8" w:rsidR="001E4BE7" w:rsidRPr="007F5FA6" w:rsidRDefault="007F5FA6" w:rsidP="007F5FA6">
      <w:pPr>
        <w:rPr>
          <w:szCs w:val="18"/>
        </w:rPr>
      </w:pPr>
      <w:r w:rsidRPr="007F5FA6">
        <w:rPr>
          <w:noProof/>
          <w:szCs w:val="18"/>
          <w:lang w:val="de-DE"/>
        </w:rPr>
        <w:t>+49 0(5130) 600 – 1026</w:t>
      </w:r>
    </w:p>
    <w:sectPr w:rsidR="001E4BE7" w:rsidRPr="007F5FA6" w:rsidSect="001E4BE7">
      <w:headerReference w:type="default" r:id="rId18"/>
      <w:headerReference w:type="first" r:id="rId19"/>
      <w:footerReference w:type="first" r:id="rId20"/>
      <w:pgSz w:w="11906" w:h="16838" w:code="9"/>
      <w:pgMar w:top="2754" w:right="2608" w:bottom="1418" w:left="1418" w:header="629" w:footer="482"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248FB9" w14:textId="77777777" w:rsidR="001C15D9" w:rsidRDefault="001C15D9" w:rsidP="001E4BE7">
      <w:r>
        <w:separator/>
      </w:r>
    </w:p>
  </w:endnote>
  <w:endnote w:type="continuationSeparator" w:id="0">
    <w:p w14:paraId="07A2AC7B" w14:textId="77777777" w:rsidR="001C15D9" w:rsidRDefault="001C15D9" w:rsidP="001E4B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charset w:val="00"/>
    <w:family w:val="swiss"/>
    <w:pitch w:val="variable"/>
    <w:sig w:usb0="A00000AF" w:usb1="500020DB" w:usb2="00000000" w:usb3="00000000" w:csb0="00000093" w:csb1="00000000"/>
    <w:embedRegular r:id="rId1" w:fontKey="{A6E945D6-46B3-42E0-84C1-D51B21434733}"/>
    <w:embedBold r:id="rId2" w:fontKey="{26DF9F4E-D5D7-497E-868F-F481F0B1F42B}"/>
    <w:embedBoldItalic r:id="rId3" w:fontKey="{F3A203CA-E229-4F70-B733-1EDFF7A74BB5}"/>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4" w:fontKey="{88E8E461-119A-4137-979F-F545804C749F}"/>
  </w:font>
  <w:font w:name="Calibri">
    <w:panose1 w:val="020F0502020204030204"/>
    <w:charset w:val="00"/>
    <w:family w:val="swiss"/>
    <w:pitch w:val="variable"/>
    <w:sig w:usb0="E0002EFF" w:usb1="C000247B" w:usb2="00000009" w:usb3="00000000" w:csb0="000001FF" w:csb1="00000000"/>
    <w:embedRegular r:id="rId5" w:fontKey="{2B3161E1-C968-4B51-AB8D-25A205623749}"/>
    <w:embedBold r:id="rId6" w:fontKey="{8FCC520B-2A92-4F17-AE2D-3B0A93DF0768}"/>
  </w:font>
  <w:font w:name="Andale Mono">
    <w:charset w:val="00"/>
    <w:family w:val="auto"/>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ennheiser-Bold">
    <w:panose1 w:val="020B0500000000000000"/>
    <w:charset w:val="00"/>
    <w:family w:val="swiss"/>
    <w:pitch w:val="variable"/>
    <w:sig w:usb0="8000002F" w:usb1="1000004A" w:usb2="00000000" w:usb3="00000000" w:csb0="00000013" w:csb1="00000000"/>
    <w:embedRegular r:id="rId7" w:fontKey="{2FC00051-E286-4AA9-A1D8-538D429DDEEB}"/>
  </w:font>
  <w:font w:name="Microsoft Sans Serif">
    <w:panose1 w:val="020B0604020202020204"/>
    <w:charset w:val="00"/>
    <w:family w:val="swiss"/>
    <w:pitch w:val="variable"/>
    <w:sig w:usb0="E5002EFF" w:usb1="C000605B" w:usb2="00000029" w:usb3="00000000" w:csb0="000101FF" w:csb1="00000000"/>
    <w:embedRegular r:id="rId8" w:fontKey="{EF526A16-7D55-4439-9C9A-C2034C953DAA}"/>
  </w:font>
  <w:font w:name="Times">
    <w:panose1 w:val="02020603050405020304"/>
    <w:charset w:val="00"/>
    <w:family w:val="roman"/>
    <w:pitch w:val="variable"/>
    <w:sig w:usb0="E0002EFF" w:usb1="C000785B" w:usb2="00000009" w:usb3="00000000" w:csb0="000001FF" w:csb1="00000000"/>
    <w:embedRegular r:id="rId9" w:fontKey="{C3552327-1615-427D-A6E7-B0FD09460FCB}"/>
  </w:font>
  <w:font w:name="Sennheiser Neue Regular">
    <w:panose1 w:val="00000000000000000000"/>
    <w:charset w:val="00"/>
    <w:family w:val="modern"/>
    <w:notTrueType/>
    <w:pitch w:val="variable"/>
    <w:sig w:usb0="A00000AF" w:usb1="500020DB" w:usb2="00000000" w:usb3="00000000" w:csb0="00000093"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embedRegular r:id="rId10" w:fontKey="{F9E430C0-9E6C-4AA5-B8BF-6CFB1FA3181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DE8620" w14:textId="6712EA18" w:rsidR="006B6B31" w:rsidRDefault="006B6B31" w:rsidP="001E4BE7">
    <w:pPr>
      <w:pStyle w:val="Fuzeile"/>
    </w:pPr>
    <w:r>
      <w:rPr>
        <w:noProof/>
        <w:lang w:val="de-DE" w:eastAsia="de-DE"/>
      </w:rPr>
      <w:drawing>
        <wp:anchor distT="0" distB="0" distL="114300" distR="114300" simplePos="0" relativeHeight="251656704" behindDoc="0" locked="1" layoutInCell="1" allowOverlap="1" wp14:anchorId="0998FC97" wp14:editId="11EA5D88">
          <wp:simplePos x="0" y="0"/>
          <wp:positionH relativeFrom="page">
            <wp:posOffset>900430</wp:posOffset>
          </wp:positionH>
          <wp:positionV relativeFrom="page">
            <wp:posOffset>10153015</wp:posOffset>
          </wp:positionV>
          <wp:extent cx="1026160" cy="107950"/>
          <wp:effectExtent l="0" t="0" r="0" b="0"/>
          <wp:wrapNone/>
          <wp:docPr id="1"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6160" cy="1079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C8AE84" w14:textId="77777777" w:rsidR="001C15D9" w:rsidRDefault="001C15D9" w:rsidP="001E4BE7">
      <w:r>
        <w:separator/>
      </w:r>
    </w:p>
  </w:footnote>
  <w:footnote w:type="continuationSeparator" w:id="0">
    <w:p w14:paraId="45F563CC" w14:textId="77777777" w:rsidR="001C15D9" w:rsidRDefault="001C15D9" w:rsidP="001E4BE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56EAA8" w14:textId="41FFB947" w:rsidR="006B6B31" w:rsidRPr="00717501" w:rsidRDefault="006B6B31" w:rsidP="001E4BE7">
    <w:pPr>
      <w:pStyle w:val="Kopfzeile"/>
      <w:rPr>
        <w:color w:val="5B9BD5"/>
      </w:rPr>
    </w:pPr>
    <w:r>
      <w:rPr>
        <w:color w:val="5B9BD5"/>
      </w:rPr>
      <w:t>Press Release</w:t>
    </w:r>
    <w:r>
      <w:rPr>
        <w:noProof/>
        <w:lang w:val="de-DE" w:eastAsia="de-DE"/>
      </w:rPr>
      <w:t xml:space="preserve"> </w:t>
    </w:r>
    <w:r>
      <w:rPr>
        <w:noProof/>
        <w:lang w:val="de-DE" w:eastAsia="de-DE"/>
      </w:rPr>
      <w:drawing>
        <wp:anchor distT="0" distB="0" distL="114300" distR="114300" simplePos="0" relativeHeight="251659776" behindDoc="0" locked="1" layoutInCell="1" allowOverlap="1" wp14:anchorId="73652A93" wp14:editId="749EC097">
          <wp:simplePos x="0" y="0"/>
          <wp:positionH relativeFrom="page">
            <wp:posOffset>900430</wp:posOffset>
          </wp:positionH>
          <wp:positionV relativeFrom="page">
            <wp:posOffset>422275</wp:posOffset>
          </wp:positionV>
          <wp:extent cx="575945" cy="431165"/>
          <wp:effectExtent l="0" t="0" r="8255"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 cy="431165"/>
                  </a:xfrm>
                  <a:prstGeom prst="rect">
                    <a:avLst/>
                  </a:prstGeom>
                  <a:noFill/>
                </pic:spPr>
              </pic:pic>
            </a:graphicData>
          </a:graphic>
          <wp14:sizeRelH relativeFrom="margin">
            <wp14:pctWidth>0</wp14:pctWidth>
          </wp14:sizeRelH>
          <wp14:sizeRelV relativeFrom="margin">
            <wp14:pctHeight>0</wp14:pctHeight>
          </wp14:sizeRelV>
        </wp:anchor>
      </w:drawing>
    </w:r>
  </w:p>
  <w:p w14:paraId="537519F4" w14:textId="2D24A945" w:rsidR="006B6B31" w:rsidRPr="008E5D5C" w:rsidRDefault="006B6B31" w:rsidP="001E4BE7">
    <w:pPr>
      <w:pStyle w:val="Kopfzeile"/>
    </w:pPr>
    <w:r>
      <w:rPr>
        <w:noProof/>
        <w:lang w:val="de-DE" w:eastAsia="de-DE"/>
      </w:rPr>
      <w:drawing>
        <wp:anchor distT="0" distB="0" distL="114300" distR="114300" simplePos="0" relativeHeight="251657728" behindDoc="0" locked="1" layoutInCell="1" allowOverlap="1" wp14:anchorId="0B1F2DF6" wp14:editId="1532F92A">
          <wp:simplePos x="0" y="0"/>
          <wp:positionH relativeFrom="page">
            <wp:posOffset>900430</wp:posOffset>
          </wp:positionH>
          <wp:positionV relativeFrom="page">
            <wp:posOffset>422275</wp:posOffset>
          </wp:positionV>
          <wp:extent cx="575945" cy="431165"/>
          <wp:effectExtent l="0" t="0" r="8255" b="635"/>
          <wp:wrapNone/>
          <wp:docPr id="3"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 cy="431165"/>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 xml:space="preserve"> PAGE  \* Arabic  \* MERGEFORMAT </w:instrText>
    </w:r>
    <w:r>
      <w:fldChar w:fldCharType="separate"/>
    </w:r>
    <w:r w:rsidR="003B0731">
      <w:rPr>
        <w:noProof/>
      </w:rPr>
      <w:t>5</w:t>
    </w:r>
    <w:r>
      <w:fldChar w:fldCharType="end"/>
    </w:r>
    <w:r>
      <w:t>/</w:t>
    </w:r>
    <w:r>
      <w:rPr>
        <w:noProof/>
      </w:rPr>
      <w:fldChar w:fldCharType="begin"/>
    </w:r>
    <w:r>
      <w:rPr>
        <w:noProof/>
      </w:rPr>
      <w:instrText xml:space="preserve"> NUMPAGES  \* Arabic  \* MERGEFORMAT </w:instrText>
    </w:r>
    <w:r>
      <w:rPr>
        <w:noProof/>
      </w:rPr>
      <w:fldChar w:fldCharType="separate"/>
    </w:r>
    <w:r w:rsidR="003B0731">
      <w:rPr>
        <w:noProof/>
      </w:rPr>
      <w:t>5</w:t>
    </w:r>
    <w:r>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C7608" w14:textId="0A149116" w:rsidR="006B6B31" w:rsidRPr="00717501" w:rsidRDefault="006B6B31" w:rsidP="001E4BE7">
    <w:pPr>
      <w:pStyle w:val="Kopfzeile"/>
      <w:rPr>
        <w:color w:val="5B9BD5"/>
      </w:rPr>
    </w:pPr>
    <w:r>
      <w:rPr>
        <w:noProof/>
        <w:lang w:val="de-DE" w:eastAsia="de-DE"/>
      </w:rPr>
      <w:drawing>
        <wp:anchor distT="0" distB="0" distL="114300" distR="114300" simplePos="0" relativeHeight="251676672" behindDoc="0" locked="1" layoutInCell="1" allowOverlap="1" wp14:anchorId="4632E0DA" wp14:editId="40CEC79D">
          <wp:simplePos x="0" y="0"/>
          <wp:positionH relativeFrom="page">
            <wp:posOffset>900430</wp:posOffset>
          </wp:positionH>
          <wp:positionV relativeFrom="page">
            <wp:posOffset>422275</wp:posOffset>
          </wp:positionV>
          <wp:extent cx="575945" cy="431165"/>
          <wp:effectExtent l="0" t="0" r="8255"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 cy="431165"/>
                  </a:xfrm>
                  <a:prstGeom prst="rect">
                    <a:avLst/>
                  </a:prstGeom>
                  <a:noFill/>
                </pic:spPr>
              </pic:pic>
            </a:graphicData>
          </a:graphic>
          <wp14:sizeRelH relativeFrom="margin">
            <wp14:pctWidth>0</wp14:pctWidth>
          </wp14:sizeRelH>
          <wp14:sizeRelV relativeFrom="margin">
            <wp14:pctHeight>0</wp14:pctHeight>
          </wp14:sizeRelV>
        </wp:anchor>
      </w:drawing>
    </w:r>
    <w:r>
      <w:rPr>
        <w:color w:val="5B9BD5"/>
      </w:rPr>
      <w:t>Press</w:t>
    </w:r>
    <w:r w:rsidR="003C7C1D">
      <w:rPr>
        <w:color w:val="5B9BD5"/>
      </w:rPr>
      <w:t>emitteilung</w:t>
    </w:r>
  </w:p>
  <w:p w14:paraId="1A290E30" w14:textId="0B7713CB" w:rsidR="006B6B31" w:rsidRPr="008E5D5C" w:rsidRDefault="006B6B31" w:rsidP="001E4BE7">
    <w:pPr>
      <w:pStyle w:val="Kopfzeile"/>
    </w:pPr>
    <w:r>
      <w:rPr>
        <w:noProof/>
        <w:lang w:val="de-DE" w:eastAsia="de-DE"/>
      </w:rPr>
      <w:drawing>
        <wp:anchor distT="0" distB="0" distL="114300" distR="114300" simplePos="0" relativeHeight="251657216" behindDoc="0" locked="1" layoutInCell="1" allowOverlap="1" wp14:anchorId="28E8E4A9" wp14:editId="73AA8359">
          <wp:simplePos x="0" y="0"/>
          <wp:positionH relativeFrom="page">
            <wp:posOffset>900430</wp:posOffset>
          </wp:positionH>
          <wp:positionV relativeFrom="page">
            <wp:posOffset>422275</wp:posOffset>
          </wp:positionV>
          <wp:extent cx="575945" cy="431165"/>
          <wp:effectExtent l="0" t="0" r="8255" b="635"/>
          <wp:wrapNone/>
          <wp:docPr id="2"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 cy="431165"/>
                  </a:xfrm>
                  <a:prstGeom prst="rect">
                    <a:avLst/>
                  </a:prstGeom>
                  <a:noFill/>
                </pic:spPr>
              </pic:pic>
            </a:graphicData>
          </a:graphic>
          <wp14:sizeRelH relativeFrom="page">
            <wp14:pctWidth>0</wp14:pctWidth>
          </wp14:sizeRelH>
          <wp14:sizeRelV relativeFrom="page">
            <wp14:pctHeight>0</wp14:pctHeight>
          </wp14:sizeRelV>
        </wp:anchor>
      </w:drawing>
    </w:r>
    <w:r>
      <w:fldChar w:fldCharType="begin"/>
    </w:r>
    <w:r>
      <w:instrText xml:space="preserve"> PAGE  \* Arabic  \* MERGEFORMAT </w:instrText>
    </w:r>
    <w:r>
      <w:fldChar w:fldCharType="separate"/>
    </w:r>
    <w:r w:rsidR="003B0731">
      <w:rPr>
        <w:noProof/>
      </w:rPr>
      <w:t>1</w:t>
    </w:r>
    <w:r>
      <w:fldChar w:fldCharType="end"/>
    </w:r>
    <w:r>
      <w:t>/</w:t>
    </w:r>
    <w:r>
      <w:rPr>
        <w:noProof/>
      </w:rPr>
      <w:fldChar w:fldCharType="begin"/>
    </w:r>
    <w:r>
      <w:rPr>
        <w:noProof/>
      </w:rPr>
      <w:instrText xml:space="preserve"> NUMPAGES  \* Arabic  \* MERGEFORMAT </w:instrText>
    </w:r>
    <w:r>
      <w:rPr>
        <w:noProof/>
      </w:rPr>
      <w:fldChar w:fldCharType="separate"/>
    </w:r>
    <w:r w:rsidR="003B0731">
      <w:rPr>
        <w:noProof/>
      </w:rPr>
      <w:t>5</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34601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Wingdings"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Wingdings"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69E0F13"/>
    <w:multiLevelType w:val="hybridMultilevel"/>
    <w:tmpl w:val="0E786362"/>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24080892"/>
    <w:multiLevelType w:val="hybridMultilevel"/>
    <w:tmpl w:val="114C1734"/>
    <w:lvl w:ilvl="0" w:tplc="04070001">
      <w:start w:val="1"/>
      <w:numFmt w:val="bullet"/>
      <w:lvlText w:val=""/>
      <w:lvlJc w:val="left"/>
      <w:pPr>
        <w:ind w:left="-7491" w:hanging="360"/>
      </w:pPr>
      <w:rPr>
        <w:rFonts w:ascii="Symbol" w:hAnsi="Symbol" w:hint="default"/>
      </w:rPr>
    </w:lvl>
    <w:lvl w:ilvl="1" w:tplc="04070003" w:tentative="1">
      <w:start w:val="1"/>
      <w:numFmt w:val="bullet"/>
      <w:lvlText w:val="o"/>
      <w:lvlJc w:val="left"/>
      <w:pPr>
        <w:ind w:left="-6771" w:hanging="360"/>
      </w:pPr>
      <w:rPr>
        <w:rFonts w:ascii="Courier New" w:hAnsi="Courier New" w:cs="Courier New" w:hint="default"/>
      </w:rPr>
    </w:lvl>
    <w:lvl w:ilvl="2" w:tplc="04070005" w:tentative="1">
      <w:start w:val="1"/>
      <w:numFmt w:val="bullet"/>
      <w:lvlText w:val=""/>
      <w:lvlJc w:val="left"/>
      <w:pPr>
        <w:ind w:left="-6051" w:hanging="360"/>
      </w:pPr>
      <w:rPr>
        <w:rFonts w:ascii="Wingdings" w:hAnsi="Wingdings" w:hint="default"/>
      </w:rPr>
    </w:lvl>
    <w:lvl w:ilvl="3" w:tplc="04070001" w:tentative="1">
      <w:start w:val="1"/>
      <w:numFmt w:val="bullet"/>
      <w:lvlText w:val=""/>
      <w:lvlJc w:val="left"/>
      <w:pPr>
        <w:ind w:left="-5331" w:hanging="360"/>
      </w:pPr>
      <w:rPr>
        <w:rFonts w:ascii="Symbol" w:hAnsi="Symbol" w:hint="default"/>
      </w:rPr>
    </w:lvl>
    <w:lvl w:ilvl="4" w:tplc="04070003" w:tentative="1">
      <w:start w:val="1"/>
      <w:numFmt w:val="bullet"/>
      <w:lvlText w:val="o"/>
      <w:lvlJc w:val="left"/>
      <w:pPr>
        <w:ind w:left="-4611" w:hanging="360"/>
      </w:pPr>
      <w:rPr>
        <w:rFonts w:ascii="Courier New" w:hAnsi="Courier New" w:cs="Courier New" w:hint="default"/>
      </w:rPr>
    </w:lvl>
    <w:lvl w:ilvl="5" w:tplc="04070005" w:tentative="1">
      <w:start w:val="1"/>
      <w:numFmt w:val="bullet"/>
      <w:lvlText w:val=""/>
      <w:lvlJc w:val="left"/>
      <w:pPr>
        <w:ind w:left="-3891" w:hanging="360"/>
      </w:pPr>
      <w:rPr>
        <w:rFonts w:ascii="Wingdings" w:hAnsi="Wingdings" w:hint="default"/>
      </w:rPr>
    </w:lvl>
    <w:lvl w:ilvl="6" w:tplc="04070001" w:tentative="1">
      <w:start w:val="1"/>
      <w:numFmt w:val="bullet"/>
      <w:lvlText w:val=""/>
      <w:lvlJc w:val="left"/>
      <w:pPr>
        <w:ind w:left="-3171" w:hanging="360"/>
      </w:pPr>
      <w:rPr>
        <w:rFonts w:ascii="Symbol" w:hAnsi="Symbol" w:hint="default"/>
      </w:rPr>
    </w:lvl>
    <w:lvl w:ilvl="7" w:tplc="04070003" w:tentative="1">
      <w:start w:val="1"/>
      <w:numFmt w:val="bullet"/>
      <w:lvlText w:val="o"/>
      <w:lvlJc w:val="left"/>
      <w:pPr>
        <w:ind w:left="-2451" w:hanging="360"/>
      </w:pPr>
      <w:rPr>
        <w:rFonts w:ascii="Courier New" w:hAnsi="Courier New" w:cs="Courier New" w:hint="default"/>
      </w:rPr>
    </w:lvl>
    <w:lvl w:ilvl="8" w:tplc="04070005" w:tentative="1">
      <w:start w:val="1"/>
      <w:numFmt w:val="bullet"/>
      <w:lvlText w:val=""/>
      <w:lvlJc w:val="left"/>
      <w:pPr>
        <w:ind w:left="-1731" w:hanging="360"/>
      </w:pPr>
      <w:rPr>
        <w:rFonts w:ascii="Wingdings" w:hAnsi="Wingdings" w:hint="default"/>
      </w:rPr>
    </w:lvl>
  </w:abstractNum>
  <w:abstractNum w:abstractNumId="3">
    <w:nsid w:val="272035C5"/>
    <w:multiLevelType w:val="hybridMultilevel"/>
    <w:tmpl w:val="0C28C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500356"/>
    <w:multiLevelType w:val="hybridMultilevel"/>
    <w:tmpl w:val="62445E8E"/>
    <w:lvl w:ilvl="0" w:tplc="EAD0B1F6">
      <w:numFmt w:val="bullet"/>
      <w:lvlText w:val="-"/>
      <w:lvlJc w:val="left"/>
      <w:pPr>
        <w:ind w:left="720" w:hanging="360"/>
      </w:pPr>
      <w:rPr>
        <w:rFonts w:ascii="Sennheiser Office" w:eastAsia="Sennheiser Office" w:hAnsi="Sennheiser Office" w:cs="Arial" w:hint="default"/>
        <w:u w:color="00B0F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405704B4"/>
    <w:multiLevelType w:val="hybridMultilevel"/>
    <w:tmpl w:val="44A60E20"/>
    <w:lvl w:ilvl="0" w:tplc="14964698">
      <w:start w:val="1"/>
      <w:numFmt w:val="bullet"/>
      <w:lvlText w:val=""/>
      <w:lvlJc w:val="left"/>
      <w:pPr>
        <w:ind w:left="720" w:hanging="360"/>
      </w:pPr>
      <w:rPr>
        <w:rFonts w:ascii="Wingdings" w:hAnsi="Wingdings" w:hint="default"/>
        <w:u w:color="00B0F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4CB20A46"/>
    <w:multiLevelType w:val="hybridMultilevel"/>
    <w:tmpl w:val="8368B844"/>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51E21F39"/>
    <w:multiLevelType w:val="hybridMultilevel"/>
    <w:tmpl w:val="F1803C88"/>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5D2345A0"/>
    <w:multiLevelType w:val="hybridMultilevel"/>
    <w:tmpl w:val="BB2057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666B75B3"/>
    <w:multiLevelType w:val="hybridMultilevel"/>
    <w:tmpl w:val="D58C0934"/>
    <w:lvl w:ilvl="0" w:tplc="EAD0B1F6">
      <w:numFmt w:val="bullet"/>
      <w:lvlText w:val="-"/>
      <w:lvlJc w:val="left"/>
      <w:pPr>
        <w:ind w:left="720" w:hanging="360"/>
      </w:pPr>
      <w:rPr>
        <w:rFonts w:ascii="Sennheiser Office" w:eastAsia="Sennheiser Office" w:hAnsi="Sennheiser Office"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7BBC1E46"/>
    <w:multiLevelType w:val="hybridMultilevel"/>
    <w:tmpl w:val="264A440C"/>
    <w:lvl w:ilvl="0" w:tplc="04070003">
      <w:start w:val="1"/>
      <w:numFmt w:val="bullet"/>
      <w:lvlText w:val="o"/>
      <w:lvlJc w:val="left"/>
      <w:pPr>
        <w:ind w:left="360" w:hanging="360"/>
      </w:pPr>
      <w:rPr>
        <w:rFonts w:ascii="Courier New" w:hAnsi="Courier New" w:cs="Wingdings" w:hint="default"/>
      </w:rPr>
    </w:lvl>
    <w:lvl w:ilvl="1" w:tplc="04090003">
      <w:start w:val="1"/>
      <w:numFmt w:val="bullet"/>
      <w:lvlText w:val="o"/>
      <w:lvlJc w:val="left"/>
      <w:pPr>
        <w:ind w:left="1080" w:hanging="360"/>
      </w:pPr>
      <w:rPr>
        <w:rFonts w:ascii="Courier New" w:hAnsi="Courier New" w:cs="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Wingdings"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Wingdings" w:hint="default"/>
      </w:rPr>
    </w:lvl>
    <w:lvl w:ilvl="8" w:tplc="04090005">
      <w:start w:val="1"/>
      <w:numFmt w:val="bullet"/>
      <w:lvlText w:val=""/>
      <w:lvlJc w:val="left"/>
      <w:pPr>
        <w:ind w:left="6120" w:hanging="360"/>
      </w:pPr>
      <w:rPr>
        <w:rFonts w:ascii="Wingdings" w:hAnsi="Wingdings" w:hint="default"/>
      </w:rPr>
    </w:lvl>
  </w:abstractNum>
  <w:num w:numId="1">
    <w:abstractNumId w:val="10"/>
  </w:num>
  <w:num w:numId="2">
    <w:abstractNumId w:val="0"/>
  </w:num>
  <w:num w:numId="3">
    <w:abstractNumId w:val="3"/>
  </w:num>
  <w:num w:numId="4">
    <w:abstractNumId w:val="9"/>
  </w:num>
  <w:num w:numId="5">
    <w:abstractNumId w:val="7"/>
  </w:num>
  <w:num w:numId="6">
    <w:abstractNumId w:val="6"/>
  </w:num>
  <w:num w:numId="7">
    <w:abstractNumId w:val="1"/>
  </w:num>
  <w:num w:numId="8">
    <w:abstractNumId w:val="5"/>
  </w:num>
  <w:num w:numId="9">
    <w:abstractNumId w:val="4"/>
  </w:num>
  <w:num w:numId="10">
    <w:abstractNumId w:val="8"/>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1EB9"/>
    <w:rsid w:val="0000196C"/>
    <w:rsid w:val="00007F12"/>
    <w:rsid w:val="0001734F"/>
    <w:rsid w:val="00017996"/>
    <w:rsid w:val="000211EE"/>
    <w:rsid w:val="00025E98"/>
    <w:rsid w:val="000307DC"/>
    <w:rsid w:val="000670AB"/>
    <w:rsid w:val="00074D09"/>
    <w:rsid w:val="00096EA8"/>
    <w:rsid w:val="00096F3D"/>
    <w:rsid w:val="000A4D69"/>
    <w:rsid w:val="000A7C83"/>
    <w:rsid w:val="000B12BB"/>
    <w:rsid w:val="000B3819"/>
    <w:rsid w:val="000C44F5"/>
    <w:rsid w:val="000C6C74"/>
    <w:rsid w:val="000F0E10"/>
    <w:rsid w:val="000F0EC9"/>
    <w:rsid w:val="000F7BF1"/>
    <w:rsid w:val="001026C9"/>
    <w:rsid w:val="001031FF"/>
    <w:rsid w:val="0011597D"/>
    <w:rsid w:val="00117089"/>
    <w:rsid w:val="00122CA9"/>
    <w:rsid w:val="001231F1"/>
    <w:rsid w:val="00125F56"/>
    <w:rsid w:val="0014383C"/>
    <w:rsid w:val="001529B8"/>
    <w:rsid w:val="00154EA1"/>
    <w:rsid w:val="00155B0D"/>
    <w:rsid w:val="00165625"/>
    <w:rsid w:val="001701FB"/>
    <w:rsid w:val="00175070"/>
    <w:rsid w:val="001753C9"/>
    <w:rsid w:val="00181CC9"/>
    <w:rsid w:val="001826EF"/>
    <w:rsid w:val="001840E3"/>
    <w:rsid w:val="00184428"/>
    <w:rsid w:val="00196591"/>
    <w:rsid w:val="001A123E"/>
    <w:rsid w:val="001A32E0"/>
    <w:rsid w:val="001C15D9"/>
    <w:rsid w:val="001C1F30"/>
    <w:rsid w:val="001D2DF4"/>
    <w:rsid w:val="001D5BB2"/>
    <w:rsid w:val="001E46A2"/>
    <w:rsid w:val="001E4BE7"/>
    <w:rsid w:val="001E60C1"/>
    <w:rsid w:val="001F395E"/>
    <w:rsid w:val="001F3E13"/>
    <w:rsid w:val="002101EC"/>
    <w:rsid w:val="00210F82"/>
    <w:rsid w:val="00222CDF"/>
    <w:rsid w:val="00224A82"/>
    <w:rsid w:val="002304C6"/>
    <w:rsid w:val="00245D23"/>
    <w:rsid w:val="00246DF6"/>
    <w:rsid w:val="00253BEB"/>
    <w:rsid w:val="00262E6F"/>
    <w:rsid w:val="002652C8"/>
    <w:rsid w:val="00265363"/>
    <w:rsid w:val="0027187D"/>
    <w:rsid w:val="002779A4"/>
    <w:rsid w:val="00277F1B"/>
    <w:rsid w:val="00281F32"/>
    <w:rsid w:val="0028634D"/>
    <w:rsid w:val="00291AD2"/>
    <w:rsid w:val="002B2C7B"/>
    <w:rsid w:val="002C3281"/>
    <w:rsid w:val="002C4443"/>
    <w:rsid w:val="002C6E62"/>
    <w:rsid w:val="002C790B"/>
    <w:rsid w:val="002D285E"/>
    <w:rsid w:val="002F0F62"/>
    <w:rsid w:val="00311229"/>
    <w:rsid w:val="0031270C"/>
    <w:rsid w:val="00314CCE"/>
    <w:rsid w:val="003150BC"/>
    <w:rsid w:val="003168BD"/>
    <w:rsid w:val="00320DA4"/>
    <w:rsid w:val="00321725"/>
    <w:rsid w:val="00330D3E"/>
    <w:rsid w:val="00336B4D"/>
    <w:rsid w:val="00341D26"/>
    <w:rsid w:val="00341DB2"/>
    <w:rsid w:val="00347B24"/>
    <w:rsid w:val="003511DD"/>
    <w:rsid w:val="00351724"/>
    <w:rsid w:val="0035233F"/>
    <w:rsid w:val="00361874"/>
    <w:rsid w:val="003665FB"/>
    <w:rsid w:val="003700F2"/>
    <w:rsid w:val="003751F9"/>
    <w:rsid w:val="00375D93"/>
    <w:rsid w:val="00395840"/>
    <w:rsid w:val="00396321"/>
    <w:rsid w:val="003B0731"/>
    <w:rsid w:val="003B60A1"/>
    <w:rsid w:val="003B71E9"/>
    <w:rsid w:val="003C315D"/>
    <w:rsid w:val="003C3C6F"/>
    <w:rsid w:val="003C5A00"/>
    <w:rsid w:val="003C6857"/>
    <w:rsid w:val="003C7C1D"/>
    <w:rsid w:val="003D580D"/>
    <w:rsid w:val="003D706D"/>
    <w:rsid w:val="003E28BF"/>
    <w:rsid w:val="003E338F"/>
    <w:rsid w:val="003E4129"/>
    <w:rsid w:val="003E769C"/>
    <w:rsid w:val="003F15D5"/>
    <w:rsid w:val="003F49EC"/>
    <w:rsid w:val="003F7DDA"/>
    <w:rsid w:val="00405B54"/>
    <w:rsid w:val="00406014"/>
    <w:rsid w:val="00410C23"/>
    <w:rsid w:val="00413F69"/>
    <w:rsid w:val="004140FB"/>
    <w:rsid w:val="00417E5A"/>
    <w:rsid w:val="0042207E"/>
    <w:rsid w:val="00444069"/>
    <w:rsid w:val="004471AF"/>
    <w:rsid w:val="00453AE0"/>
    <w:rsid w:val="00477901"/>
    <w:rsid w:val="004830FE"/>
    <w:rsid w:val="0048323C"/>
    <w:rsid w:val="00486E2C"/>
    <w:rsid w:val="004931A2"/>
    <w:rsid w:val="004A3265"/>
    <w:rsid w:val="004A660D"/>
    <w:rsid w:val="004B259C"/>
    <w:rsid w:val="004B2769"/>
    <w:rsid w:val="004B4994"/>
    <w:rsid w:val="004C297E"/>
    <w:rsid w:val="004D5E87"/>
    <w:rsid w:val="00504A72"/>
    <w:rsid w:val="005103D7"/>
    <w:rsid w:val="00521C96"/>
    <w:rsid w:val="00523480"/>
    <w:rsid w:val="00524A8E"/>
    <w:rsid w:val="00533E41"/>
    <w:rsid w:val="00544FB5"/>
    <w:rsid w:val="00563501"/>
    <w:rsid w:val="005676AD"/>
    <w:rsid w:val="0057371F"/>
    <w:rsid w:val="0057501C"/>
    <w:rsid w:val="00577304"/>
    <w:rsid w:val="005A41EE"/>
    <w:rsid w:val="005C383B"/>
    <w:rsid w:val="005D158B"/>
    <w:rsid w:val="005E67A6"/>
    <w:rsid w:val="005E6E8A"/>
    <w:rsid w:val="005F2698"/>
    <w:rsid w:val="005F500A"/>
    <w:rsid w:val="00623D6E"/>
    <w:rsid w:val="00626AF2"/>
    <w:rsid w:val="0063227E"/>
    <w:rsid w:val="00645E24"/>
    <w:rsid w:val="006541B5"/>
    <w:rsid w:val="00664102"/>
    <w:rsid w:val="00671FB4"/>
    <w:rsid w:val="00677E0E"/>
    <w:rsid w:val="00694698"/>
    <w:rsid w:val="006A2245"/>
    <w:rsid w:val="006A343E"/>
    <w:rsid w:val="006A6924"/>
    <w:rsid w:val="006B11E3"/>
    <w:rsid w:val="006B243B"/>
    <w:rsid w:val="006B6B31"/>
    <w:rsid w:val="006D4956"/>
    <w:rsid w:val="006D4F3E"/>
    <w:rsid w:val="006E12BA"/>
    <w:rsid w:val="006E512F"/>
    <w:rsid w:val="006E606E"/>
    <w:rsid w:val="006F1AEA"/>
    <w:rsid w:val="006F33DA"/>
    <w:rsid w:val="0070017F"/>
    <w:rsid w:val="00702CF5"/>
    <w:rsid w:val="00707775"/>
    <w:rsid w:val="0071147B"/>
    <w:rsid w:val="00711BB8"/>
    <w:rsid w:val="0071532F"/>
    <w:rsid w:val="00716B5A"/>
    <w:rsid w:val="007448E1"/>
    <w:rsid w:val="00750137"/>
    <w:rsid w:val="00757C5A"/>
    <w:rsid w:val="007626D3"/>
    <w:rsid w:val="0076569E"/>
    <w:rsid w:val="00770197"/>
    <w:rsid w:val="007720FF"/>
    <w:rsid w:val="00776B20"/>
    <w:rsid w:val="00783BAF"/>
    <w:rsid w:val="00784A85"/>
    <w:rsid w:val="007868F2"/>
    <w:rsid w:val="007A4CDA"/>
    <w:rsid w:val="007A5083"/>
    <w:rsid w:val="007B4CB4"/>
    <w:rsid w:val="007F246A"/>
    <w:rsid w:val="007F5C36"/>
    <w:rsid w:val="007F5FA6"/>
    <w:rsid w:val="008012C0"/>
    <w:rsid w:val="00804965"/>
    <w:rsid w:val="00811F32"/>
    <w:rsid w:val="00812513"/>
    <w:rsid w:val="00836505"/>
    <w:rsid w:val="00844AC3"/>
    <w:rsid w:val="00867B6C"/>
    <w:rsid w:val="00871B54"/>
    <w:rsid w:val="00876025"/>
    <w:rsid w:val="0088099D"/>
    <w:rsid w:val="008A66A4"/>
    <w:rsid w:val="008C06C8"/>
    <w:rsid w:val="008D799A"/>
    <w:rsid w:val="008E6C22"/>
    <w:rsid w:val="008F145E"/>
    <w:rsid w:val="008F41F7"/>
    <w:rsid w:val="008F518E"/>
    <w:rsid w:val="008F76B3"/>
    <w:rsid w:val="00900EDB"/>
    <w:rsid w:val="00905A9A"/>
    <w:rsid w:val="009143D3"/>
    <w:rsid w:val="0092129F"/>
    <w:rsid w:val="0093131B"/>
    <w:rsid w:val="00932EB6"/>
    <w:rsid w:val="00935C02"/>
    <w:rsid w:val="00940B2D"/>
    <w:rsid w:val="00983EDB"/>
    <w:rsid w:val="00994D54"/>
    <w:rsid w:val="009A0EDC"/>
    <w:rsid w:val="009A551A"/>
    <w:rsid w:val="009A59E3"/>
    <w:rsid w:val="009B2980"/>
    <w:rsid w:val="009C0E50"/>
    <w:rsid w:val="009C3D40"/>
    <w:rsid w:val="009C6155"/>
    <w:rsid w:val="009C7396"/>
    <w:rsid w:val="009D4020"/>
    <w:rsid w:val="009D6577"/>
    <w:rsid w:val="00A03252"/>
    <w:rsid w:val="00A072A9"/>
    <w:rsid w:val="00A1116E"/>
    <w:rsid w:val="00A11A6B"/>
    <w:rsid w:val="00A1427A"/>
    <w:rsid w:val="00A22913"/>
    <w:rsid w:val="00A25977"/>
    <w:rsid w:val="00A27A08"/>
    <w:rsid w:val="00A406C4"/>
    <w:rsid w:val="00A41589"/>
    <w:rsid w:val="00A47993"/>
    <w:rsid w:val="00A51084"/>
    <w:rsid w:val="00A724A7"/>
    <w:rsid w:val="00A8077A"/>
    <w:rsid w:val="00A90380"/>
    <w:rsid w:val="00A95776"/>
    <w:rsid w:val="00A9598E"/>
    <w:rsid w:val="00AC304E"/>
    <w:rsid w:val="00AC4CFB"/>
    <w:rsid w:val="00AC758B"/>
    <w:rsid w:val="00AC7B82"/>
    <w:rsid w:val="00AD2EF2"/>
    <w:rsid w:val="00AD439D"/>
    <w:rsid w:val="00AD4DFE"/>
    <w:rsid w:val="00AE01B6"/>
    <w:rsid w:val="00AE54E3"/>
    <w:rsid w:val="00AF5454"/>
    <w:rsid w:val="00AF7F44"/>
    <w:rsid w:val="00B03D3C"/>
    <w:rsid w:val="00B05814"/>
    <w:rsid w:val="00B20E05"/>
    <w:rsid w:val="00B2398F"/>
    <w:rsid w:val="00B24194"/>
    <w:rsid w:val="00B242AB"/>
    <w:rsid w:val="00B262E7"/>
    <w:rsid w:val="00B363E5"/>
    <w:rsid w:val="00B37B09"/>
    <w:rsid w:val="00B50B6C"/>
    <w:rsid w:val="00B53320"/>
    <w:rsid w:val="00B66A57"/>
    <w:rsid w:val="00B67D88"/>
    <w:rsid w:val="00B71DF1"/>
    <w:rsid w:val="00B73A9D"/>
    <w:rsid w:val="00B7465E"/>
    <w:rsid w:val="00B75F2D"/>
    <w:rsid w:val="00B83493"/>
    <w:rsid w:val="00B86716"/>
    <w:rsid w:val="00B9307B"/>
    <w:rsid w:val="00B96510"/>
    <w:rsid w:val="00BC272B"/>
    <w:rsid w:val="00BD6EEF"/>
    <w:rsid w:val="00BE1B12"/>
    <w:rsid w:val="00BE5AB5"/>
    <w:rsid w:val="00BF429E"/>
    <w:rsid w:val="00C0328A"/>
    <w:rsid w:val="00C052CC"/>
    <w:rsid w:val="00C25FFC"/>
    <w:rsid w:val="00C305D0"/>
    <w:rsid w:val="00C30C07"/>
    <w:rsid w:val="00C34DBF"/>
    <w:rsid w:val="00C3560E"/>
    <w:rsid w:val="00C357F3"/>
    <w:rsid w:val="00C363B0"/>
    <w:rsid w:val="00C50CA0"/>
    <w:rsid w:val="00C63078"/>
    <w:rsid w:val="00C6653F"/>
    <w:rsid w:val="00C6735C"/>
    <w:rsid w:val="00C72D93"/>
    <w:rsid w:val="00C730D0"/>
    <w:rsid w:val="00C77D60"/>
    <w:rsid w:val="00C8625A"/>
    <w:rsid w:val="00C9046F"/>
    <w:rsid w:val="00C93076"/>
    <w:rsid w:val="00CA1D6F"/>
    <w:rsid w:val="00CA1EB9"/>
    <w:rsid w:val="00CB7B56"/>
    <w:rsid w:val="00CC3504"/>
    <w:rsid w:val="00CC5E93"/>
    <w:rsid w:val="00CC722E"/>
    <w:rsid w:val="00CE10CD"/>
    <w:rsid w:val="00CF58C7"/>
    <w:rsid w:val="00CF7449"/>
    <w:rsid w:val="00D02DAD"/>
    <w:rsid w:val="00D05F9A"/>
    <w:rsid w:val="00D26ADA"/>
    <w:rsid w:val="00D40556"/>
    <w:rsid w:val="00D44E22"/>
    <w:rsid w:val="00D57713"/>
    <w:rsid w:val="00D67E83"/>
    <w:rsid w:val="00D771BE"/>
    <w:rsid w:val="00D803D9"/>
    <w:rsid w:val="00D854E2"/>
    <w:rsid w:val="00D85A97"/>
    <w:rsid w:val="00D957FC"/>
    <w:rsid w:val="00DA1DF9"/>
    <w:rsid w:val="00DB1D74"/>
    <w:rsid w:val="00DB237D"/>
    <w:rsid w:val="00DB2D1C"/>
    <w:rsid w:val="00DC23A9"/>
    <w:rsid w:val="00DD05FB"/>
    <w:rsid w:val="00DD6223"/>
    <w:rsid w:val="00DE268F"/>
    <w:rsid w:val="00DE6243"/>
    <w:rsid w:val="00DF0DC5"/>
    <w:rsid w:val="00E04743"/>
    <w:rsid w:val="00E11066"/>
    <w:rsid w:val="00E11786"/>
    <w:rsid w:val="00E20644"/>
    <w:rsid w:val="00E32D9B"/>
    <w:rsid w:val="00E44E8D"/>
    <w:rsid w:val="00E5344F"/>
    <w:rsid w:val="00E648AC"/>
    <w:rsid w:val="00E6604A"/>
    <w:rsid w:val="00E82750"/>
    <w:rsid w:val="00E90D67"/>
    <w:rsid w:val="00EA246B"/>
    <w:rsid w:val="00EA4FF3"/>
    <w:rsid w:val="00EA5E4D"/>
    <w:rsid w:val="00EB3AE5"/>
    <w:rsid w:val="00EC0945"/>
    <w:rsid w:val="00ED724E"/>
    <w:rsid w:val="00EE124B"/>
    <w:rsid w:val="00EF031C"/>
    <w:rsid w:val="00EF0D12"/>
    <w:rsid w:val="00EF55CF"/>
    <w:rsid w:val="00F161D3"/>
    <w:rsid w:val="00F2283F"/>
    <w:rsid w:val="00F22D86"/>
    <w:rsid w:val="00F23A0D"/>
    <w:rsid w:val="00F308A6"/>
    <w:rsid w:val="00F34A23"/>
    <w:rsid w:val="00F377B2"/>
    <w:rsid w:val="00F5161C"/>
    <w:rsid w:val="00F55A19"/>
    <w:rsid w:val="00F57D47"/>
    <w:rsid w:val="00F60AEA"/>
    <w:rsid w:val="00F61A83"/>
    <w:rsid w:val="00F767D9"/>
    <w:rsid w:val="00F9085F"/>
    <w:rsid w:val="00F90ADB"/>
    <w:rsid w:val="00FB47AC"/>
    <w:rsid w:val="00FD213F"/>
    <w:rsid w:val="00FD7BFB"/>
    <w:rsid w:val="00FE1846"/>
    <w:rsid w:val="00FE223D"/>
    <w:rsid w:val="00FF7460"/>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7962B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ennheiser Office" w:eastAsia="Sennheiser Office" w:hAnsi="Sennheiser Office"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iPriority="1" w:unhideWhenUsed="0"/>
    <w:lsdException w:name="Medium Shading 2 Accent 1" w:semiHidden="0" w:uiPriority="60" w:unhideWhenUsed="0"/>
    <w:lsdException w:name="Medium List 1 Accent 1" w:semiHidden="0" w:uiPriority="61" w:unhideWhenUsed="0"/>
    <w:lsdException w:name="Revision" w:uiPriority="62" w:unhideWhenUsed="0"/>
    <w:lsdException w:name="List Paragraph" w:semiHidden="0" w:uiPriority="34" w:unhideWhenUsed="0" w:qFormat="1"/>
    <w:lsdException w:name="Quote" w:semiHidden="0" w:uiPriority="64" w:unhideWhenUsed="0" w:qFormat="1"/>
    <w:lsdException w:name="Intense Quote" w:semiHidden="0" w:uiPriority="6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qFormat="1"/>
    <w:lsdException w:name="Colorful Grid Accent 1" w:semiHidden="0" w:uiPriority="73" w:unhideWhenUsed="0" w:qFormat="1"/>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nhideWhenUsed="0"/>
    <w:lsdException w:name="Medium Grid 1 Accent 2" w:semiHidden="0" w:uiPriority="72" w:unhideWhenUsed="0" w:qFormat="1"/>
    <w:lsdException w:name="Medium Grid 2 Accent 2" w:semiHidden="0" w:uiPriority="29" w:unhideWhenUsed="0"/>
    <w:lsdException w:name="Medium Grid 3 Accent 2" w:semiHidden="0" w:uiPriority="30" w:unhideWhenUsed="0"/>
    <w:lsdException w:name="Dark List Accent 2" w:semiHidden="0" w:uiPriority="66" w:unhideWhenUsed="0"/>
    <w:lsdException w:name="Colorful Shading Accent 2" w:semiHidden="0" w:uiPriority="67" w:unhideWhenUsed="0"/>
    <w:lsdException w:name="Colorful List Accent 2" w:semiHidden="0" w:uiPriority="68" w:unhideWhenUsed="0"/>
    <w:lsdException w:name="Colorful Grid Accent 2" w:semiHidden="0" w:uiPriority="69" w:unhideWhenUsed="0"/>
    <w:lsdException w:name="Light Shading Accent 3" w:semiHidden="0" w:uiPriority="70" w:unhideWhenUsed="0"/>
    <w:lsdException w:name="Light List Accent 3" w:semiHidden="0" w:uiPriority="71" w:unhideWhenUsed="0"/>
    <w:lsdException w:name="Light Grid Accent 3" w:semiHidden="0" w:uiPriority="72" w:unhideWhenUsed="0"/>
    <w:lsdException w:name="Medium Shading 1 Accent 3" w:semiHidden="0" w:uiPriority="73" w:unhideWhenUsed="0"/>
    <w:lsdException w:name="Medium Shading 2 Accent 3" w:semiHidden="0" w:uiPriority="60" w:unhideWhenUsed="0"/>
    <w:lsdException w:name="Medium List 1 Accent 3" w:semiHidden="0" w:uiPriority="61" w:unhideWhenUsed="0"/>
    <w:lsdException w:name="Medium List 2 Accent 3" w:semiHidden="0" w:uiPriority="62" w:unhideWhenUsed="0"/>
    <w:lsdException w:name="Medium Grid 1 Accent 3" w:semiHidden="0" w:uiPriority="63" w:unhideWhenUsed="0"/>
    <w:lsdException w:name="Medium Grid 2 Accent 3" w:semiHidden="0" w:uiPriority="64" w:unhideWhenUsed="0"/>
    <w:lsdException w:name="Medium Grid 3 Accent 3" w:semiHidden="0" w:uiPriority="65" w:unhideWhenUsed="0"/>
    <w:lsdException w:name="Dark List Accent 3" w:semiHidden="0" w:uiPriority="66" w:unhideWhenUsed="0"/>
    <w:lsdException w:name="Colorful Shading Accent 3" w:semiHidden="0" w:uiPriority="67" w:unhideWhenUsed="0"/>
    <w:lsdException w:name="Colorful List Accent 3" w:semiHidden="0" w:uiPriority="68" w:unhideWhenUsed="0"/>
    <w:lsdException w:name="Colorful Grid Accent 3" w:semiHidden="0" w:uiPriority="69" w:unhideWhenUsed="0"/>
    <w:lsdException w:name="Light Shading Accent 4" w:semiHidden="0" w:uiPriority="70" w:unhideWhenUsed="0"/>
    <w:lsdException w:name="Light List Accent 4" w:semiHidden="0" w:uiPriority="71" w:unhideWhenUsed="0"/>
    <w:lsdException w:name="Light Grid Accent 4" w:semiHidden="0" w:uiPriority="72" w:unhideWhenUsed="0"/>
    <w:lsdException w:name="Medium Shading 1 Accent 4" w:semiHidden="0" w:uiPriority="73" w:unhideWhenUsed="0"/>
    <w:lsdException w:name="Medium Shading 2 Accent 4" w:semiHidden="0" w:uiPriority="60" w:unhideWhenUsed="0"/>
    <w:lsdException w:name="Medium List 1 Accent 4" w:semiHidden="0" w:uiPriority="61" w:unhideWhenUsed="0"/>
    <w:lsdException w:name="Medium List 2 Accent 4" w:semiHidden="0" w:uiPriority="62" w:unhideWhenUsed="0"/>
    <w:lsdException w:name="Medium Grid 1 Accent 4" w:semiHidden="0" w:uiPriority="63" w:unhideWhenUsed="0"/>
    <w:lsdException w:name="Medium Grid 2 Accent 4" w:semiHidden="0" w:uiPriority="64" w:unhideWhenUsed="0"/>
    <w:lsdException w:name="Medium Grid 3 Accent 4" w:semiHidden="0" w:uiPriority="65" w:unhideWhenUsed="0"/>
    <w:lsdException w:name="Dark List Accent 4" w:semiHidden="0" w:uiPriority="66" w:unhideWhenUsed="0"/>
    <w:lsdException w:name="Colorful Shading Accent 4" w:semiHidden="0" w:uiPriority="67" w:unhideWhenUsed="0"/>
    <w:lsdException w:name="Colorful List Accent 4" w:semiHidden="0" w:uiPriority="68" w:unhideWhenUsed="0"/>
    <w:lsdException w:name="Colorful Grid Accent 4" w:semiHidden="0" w:uiPriority="69" w:unhideWhenUsed="0"/>
    <w:lsdException w:name="Light Shading Accent 5" w:semiHidden="0" w:uiPriority="70" w:unhideWhenUsed="0"/>
    <w:lsdException w:name="Light List Accent 5" w:semiHidden="0" w:uiPriority="71" w:unhideWhenUsed="0"/>
    <w:lsdException w:name="Light Grid Accent 5" w:semiHidden="0" w:uiPriority="72" w:unhideWhenUsed="0"/>
    <w:lsdException w:name="Medium Shading 1 Accent 5" w:semiHidden="0" w:uiPriority="73" w:unhideWhenUsed="0"/>
    <w:lsdException w:name="Medium Shading 2 Accent 5" w:semiHidden="0" w:uiPriority="60" w:unhideWhenUsed="0"/>
    <w:lsdException w:name="Medium List 1 Accent 5" w:semiHidden="0" w:uiPriority="61" w:unhideWhenUsed="0"/>
    <w:lsdException w:name="Medium List 2 Accent 5" w:semiHidden="0" w:uiPriority="62" w:unhideWhenUsed="0"/>
    <w:lsdException w:name="Medium Grid 1 Accent 5" w:semiHidden="0" w:uiPriority="63" w:unhideWhenUsed="0"/>
    <w:lsdException w:name="Medium Grid 2 Accent 5" w:semiHidden="0" w:uiPriority="64" w:unhideWhenUsed="0"/>
    <w:lsdException w:name="Medium Grid 3 Accent 5" w:semiHidden="0" w:uiPriority="65" w:unhideWhenUsed="0"/>
    <w:lsdException w:name="Dark List Accent 5" w:semiHidden="0" w:uiPriority="66" w:unhideWhenUsed="0"/>
    <w:lsdException w:name="Colorful Shading Accent 5" w:semiHidden="0" w:uiPriority="67" w:unhideWhenUsed="0"/>
    <w:lsdException w:name="Colorful List Accent 5" w:semiHidden="0" w:uiPriority="68" w:unhideWhenUsed="0"/>
    <w:lsdException w:name="Colorful Grid Accent 5" w:semiHidden="0" w:uiPriority="69" w:unhideWhenUsed="0"/>
    <w:lsdException w:name="Light Shading Accent 6" w:semiHidden="0" w:uiPriority="70" w:unhideWhenUsed="0"/>
    <w:lsdException w:name="Light List Accent 6" w:semiHidden="0" w:uiPriority="71" w:unhideWhenUsed="0"/>
    <w:lsdException w:name="Light Grid Accent 6" w:semiHidden="0" w:uiPriority="72" w:unhideWhenUsed="0"/>
    <w:lsdException w:name="Medium Shading 1 Accent 6" w:semiHidden="0" w:uiPriority="73" w:unhideWhenUsed="0"/>
    <w:lsdException w:name="Medium Shading 2 Accent 6" w:semiHidden="0" w:uiPriority="60" w:unhideWhenUsed="0"/>
    <w:lsdException w:name="Medium List 1 Accent 6" w:semiHidden="0" w:uiPriority="61" w:unhideWhenUsed="0"/>
    <w:lsdException w:name="Medium List 2 Accent 6" w:semiHidden="0" w:uiPriority="62" w:unhideWhenUsed="0"/>
    <w:lsdException w:name="Medium Grid 1 Accent 6" w:semiHidden="0" w:uiPriority="63" w:unhideWhenUsed="0"/>
    <w:lsdException w:name="Medium Grid 2 Accent 6" w:semiHidden="0" w:uiPriority="64" w:unhideWhenUsed="0"/>
    <w:lsdException w:name="Medium Grid 3 Accent 6" w:semiHidden="0" w:uiPriority="65" w:unhideWhenUsed="0"/>
    <w:lsdException w:name="Dark List Accent 6" w:semiHidden="0" w:uiPriority="66" w:unhideWhenUsed="0"/>
    <w:lsdException w:name="Colorful Shading Accent 6" w:semiHidden="0" w:uiPriority="67" w:unhideWhenUsed="0"/>
    <w:lsdException w:name="Colorful List Accent 6" w:semiHidden="0" w:uiPriority="68" w:unhideWhenUsed="0"/>
    <w:lsdException w:name="Colorful Grid Accent 6" w:semiHidden="0" w:uiPriority="69" w:unhideWhenUsed="0"/>
    <w:lsdException w:name="Subtle Emphasis" w:semiHidden="0" w:uiPriority="70" w:unhideWhenUsed="0" w:qFormat="1"/>
    <w:lsdException w:name="Intense Emphasis" w:semiHidden="0" w:uiPriority="71" w:unhideWhenUsed="0" w:qFormat="1"/>
    <w:lsdException w:name="Subtle Reference" w:semiHidden="0" w:uiPriority="72" w:unhideWhenUsed="0" w:qFormat="1"/>
    <w:lsdException w:name="Intense Reference" w:semiHidden="0" w:uiPriority="73" w:unhideWhenUsed="0" w:qFormat="1"/>
    <w:lsdException w:name="Book Title" w:semiHidden="0" w:uiPriority="60" w:unhideWhenUsed="0" w:qFormat="1"/>
    <w:lsdException w:name="Bibliography" w:uiPriority="61"/>
    <w:lsdException w:name="TOC Heading" w:uiPriority="62" w:qFormat="1"/>
  </w:latentStyles>
  <w:style w:type="paragraph" w:default="1" w:styleId="Standard">
    <w:name w:val="Normal"/>
    <w:qFormat/>
    <w:rsid w:val="00162884"/>
    <w:pPr>
      <w:spacing w:line="360" w:lineRule="auto"/>
    </w:pPr>
    <w:rPr>
      <w:rFonts w:cs="Arial"/>
      <w:bCs/>
      <w:sz w:val="18"/>
      <w:szCs w:val="22"/>
      <w:lang w:val="en-US" w:eastAsia="en-US"/>
    </w:rPr>
  </w:style>
  <w:style w:type="paragraph" w:styleId="berschrift1">
    <w:name w:val="heading 1"/>
    <w:basedOn w:val="Standard"/>
    <w:next w:val="Standard"/>
    <w:link w:val="berschrift1Zchn"/>
    <w:uiPriority w:val="9"/>
    <w:qFormat/>
    <w:rsid w:val="009C45A2"/>
    <w:pPr>
      <w:outlineLvl w:val="0"/>
    </w:pPr>
    <w:rPr>
      <w:rFonts w:cs="Times New Roman"/>
      <w:b/>
      <w:bCs w:val="0"/>
      <w:caps/>
      <w:color w:val="0095D5"/>
      <w:szCs w:val="20"/>
      <w:lang w:val="en-GB" w:eastAsia="x-none"/>
    </w:rPr>
  </w:style>
  <w:style w:type="paragraph" w:styleId="berschrift2">
    <w:name w:val="heading 2"/>
    <w:basedOn w:val="Standard"/>
    <w:next w:val="Standard"/>
    <w:link w:val="berschrift2Zchn"/>
    <w:uiPriority w:val="9"/>
    <w:qFormat/>
    <w:rsid w:val="009C45A2"/>
    <w:pPr>
      <w:outlineLvl w:val="1"/>
    </w:pPr>
    <w:rPr>
      <w:rFonts w:cs="Times New Roman"/>
      <w:b/>
      <w:bCs w:val="0"/>
      <w:szCs w:val="20"/>
      <w:lang w:val="en-GB" w:eastAsia="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rFonts w:cs="Times New Roman"/>
      <w:bCs w:val="0"/>
      <w:caps/>
      <w:spacing w:val="12"/>
      <w:sz w:val="15"/>
      <w:szCs w:val="20"/>
      <w:lang w:val="en-GB" w:eastAsia="x-none"/>
    </w:rPr>
  </w:style>
  <w:style w:type="character" w:customStyle="1" w:styleId="KopfzeileZchn">
    <w:name w:val="Kopfzeile Zchn"/>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rFonts w:cs="Times New Roman"/>
      <w:bCs w:val="0"/>
      <w:sz w:val="12"/>
      <w:szCs w:val="20"/>
      <w:lang w:val="en-GB" w:eastAsia="x-none"/>
    </w:rPr>
  </w:style>
  <w:style w:type="character" w:customStyle="1" w:styleId="FuzeileZchn">
    <w:name w:val="Fußzeile Zchn"/>
    <w:link w:val="Fuzeile"/>
    <w:uiPriority w:val="99"/>
    <w:rsid w:val="00AB5767"/>
    <w:rPr>
      <w:sz w:val="12"/>
      <w:lang w:val="en-GB"/>
    </w:rPr>
  </w:style>
  <w:style w:type="table" w:styleId="Tabellenraster">
    <w:name w:val="Table Grid"/>
    <w:basedOn w:val="NormaleTabelle"/>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rFonts w:cs="Times New Roman"/>
      <w:bCs w:val="0"/>
      <w:sz w:val="24"/>
      <w:szCs w:val="20"/>
      <w:lang w:val="en-GB" w:eastAsia="x-none"/>
    </w:rPr>
  </w:style>
  <w:style w:type="character" w:customStyle="1" w:styleId="TitelZchn">
    <w:name w:val="Titel Zchn"/>
    <w:link w:val="Titel"/>
    <w:uiPriority w:val="10"/>
    <w:rsid w:val="00AC4E77"/>
    <w:rPr>
      <w:sz w:val="24"/>
      <w:lang w:val="en-GB"/>
    </w:rPr>
  </w:style>
  <w:style w:type="character" w:customStyle="1" w:styleId="berschrift1Zchn">
    <w:name w:val="Überschrift 1 Zchn"/>
    <w:link w:val="berschrift1"/>
    <w:uiPriority w:val="9"/>
    <w:rsid w:val="009C45A2"/>
    <w:rPr>
      <w:b/>
      <w:caps/>
      <w:color w:val="0095D5"/>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uiPriority w:val="99"/>
    <w:unhideWhenUsed/>
    <w:rsid w:val="00C24DAB"/>
    <w:rPr>
      <w:color w:val="000000"/>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2A2469"/>
    <w:pPr>
      <w:spacing w:line="240" w:lineRule="auto"/>
    </w:pPr>
    <w:rPr>
      <w:rFonts w:ascii="Tahoma" w:hAnsi="Tahoma" w:cs="Times New Roman"/>
      <w:bCs w:val="0"/>
      <w:sz w:val="16"/>
      <w:szCs w:val="16"/>
      <w:lang w:val="en-GB" w:eastAsia="x-none"/>
    </w:rPr>
  </w:style>
  <w:style w:type="character" w:customStyle="1" w:styleId="SprechblasentextZchn">
    <w:name w:val="Sprechblasentext Zchn"/>
    <w:link w:val="Sprechblasentext"/>
    <w:uiPriority w:val="99"/>
    <w:semiHidden/>
    <w:rsid w:val="002A2469"/>
    <w:rPr>
      <w:rFonts w:ascii="Tahoma" w:hAnsi="Tahoma" w:cs="Tahoma"/>
      <w:sz w:val="16"/>
      <w:szCs w:val="16"/>
      <w:lang w:val="en-GB"/>
    </w:rPr>
  </w:style>
  <w:style w:type="paragraph" w:customStyle="1" w:styleId="FarbigeSchattierung-Akzent31">
    <w:name w:val="Farbige Schattierung - Akzent 31"/>
    <w:basedOn w:val="Standard"/>
    <w:uiPriority w:val="72"/>
    <w:qFormat/>
    <w:rsid w:val="002A2469"/>
    <w:pPr>
      <w:spacing w:line="240" w:lineRule="auto"/>
      <w:ind w:left="720"/>
      <w:contextualSpacing/>
    </w:pPr>
    <w:rPr>
      <w:rFonts w:ascii="Calibri" w:eastAsia="Calibri" w:hAnsi="Calibri" w:cs="Times New Roman"/>
      <w:sz w:val="22"/>
      <w:lang w:val="fr-FR"/>
    </w:rPr>
  </w:style>
  <w:style w:type="paragraph" w:customStyle="1" w:styleId="BodyA">
    <w:name w:val="Body A"/>
    <w:rsid w:val="00B90830"/>
    <w:pPr>
      <w:pBdr>
        <w:top w:val="nil"/>
        <w:left w:val="nil"/>
        <w:bottom w:val="nil"/>
        <w:right w:val="nil"/>
        <w:between w:val="nil"/>
        <w:bar w:val="nil"/>
      </w:pBdr>
      <w:spacing w:line="336" w:lineRule="auto"/>
      <w:jc w:val="both"/>
    </w:pPr>
    <w:rPr>
      <w:rFonts w:ascii="Andale Mono" w:eastAsia="Arial Unicode MS" w:hAnsi="Arial Unicode MS" w:cs="Arial Unicode MS"/>
      <w:color w:val="000000"/>
      <w:sz w:val="24"/>
      <w:szCs w:val="24"/>
      <w:u w:color="000000"/>
      <w:bdr w:val="nil"/>
      <w:lang w:val="en-US"/>
    </w:rPr>
  </w:style>
  <w:style w:type="character" w:styleId="Fett">
    <w:name w:val="Strong"/>
    <w:aliases w:val="Überschrift"/>
    <w:uiPriority w:val="99"/>
    <w:qFormat/>
    <w:rsid w:val="00B90830"/>
    <w:rPr>
      <w:rFonts w:ascii="Sennheiser-Bold" w:hAnsi="Sennheiser-Bold" w:cs="Times New Roman"/>
      <w:sz w:val="22"/>
    </w:rPr>
  </w:style>
  <w:style w:type="character" w:styleId="Kommentarzeichen">
    <w:name w:val="annotation reference"/>
    <w:uiPriority w:val="99"/>
    <w:semiHidden/>
    <w:unhideWhenUsed/>
    <w:rsid w:val="00694698"/>
    <w:rPr>
      <w:sz w:val="16"/>
      <w:szCs w:val="16"/>
    </w:rPr>
  </w:style>
  <w:style w:type="paragraph" w:styleId="Kommentartext">
    <w:name w:val="annotation text"/>
    <w:basedOn w:val="Standard"/>
    <w:link w:val="KommentartextZchn"/>
    <w:uiPriority w:val="99"/>
    <w:semiHidden/>
    <w:unhideWhenUsed/>
    <w:rsid w:val="00694698"/>
    <w:rPr>
      <w:sz w:val="20"/>
      <w:szCs w:val="20"/>
    </w:rPr>
  </w:style>
  <w:style w:type="character" w:customStyle="1" w:styleId="KommentartextZchn">
    <w:name w:val="Kommentartext Zchn"/>
    <w:link w:val="Kommentartext"/>
    <w:uiPriority w:val="99"/>
    <w:semiHidden/>
    <w:rsid w:val="00694698"/>
    <w:rPr>
      <w:rFonts w:cs="Arial"/>
      <w:bCs/>
      <w:lang w:val="en-US" w:eastAsia="en-US"/>
    </w:rPr>
  </w:style>
  <w:style w:type="paragraph" w:styleId="Kommentarthema">
    <w:name w:val="annotation subject"/>
    <w:basedOn w:val="Kommentartext"/>
    <w:next w:val="Kommentartext"/>
    <w:link w:val="KommentarthemaZchn"/>
    <w:uiPriority w:val="99"/>
    <w:semiHidden/>
    <w:unhideWhenUsed/>
    <w:rsid w:val="00694698"/>
    <w:rPr>
      <w:b/>
    </w:rPr>
  </w:style>
  <w:style w:type="character" w:customStyle="1" w:styleId="KommentarthemaZchn">
    <w:name w:val="Kommentarthema Zchn"/>
    <w:link w:val="Kommentarthema"/>
    <w:uiPriority w:val="99"/>
    <w:semiHidden/>
    <w:rsid w:val="00694698"/>
    <w:rPr>
      <w:rFonts w:cs="Arial"/>
      <w:b/>
      <w:bCs/>
      <w:lang w:val="en-US" w:eastAsia="en-US"/>
    </w:rPr>
  </w:style>
  <w:style w:type="paragraph" w:styleId="Listenabsatz">
    <w:name w:val="List Paragraph"/>
    <w:basedOn w:val="Standard"/>
    <w:uiPriority w:val="34"/>
    <w:qFormat/>
    <w:rsid w:val="008F76B3"/>
    <w:pPr>
      <w:spacing w:line="240" w:lineRule="atLeast"/>
      <w:ind w:left="720"/>
      <w:contextualSpacing/>
    </w:pPr>
    <w:rPr>
      <w:rFonts w:asciiTheme="minorHAnsi" w:eastAsiaTheme="minorHAnsi" w:hAnsiTheme="minorHAnsi" w:cstheme="minorBidi"/>
      <w:bCs w:val="0"/>
      <w:lang w:val="en-GB"/>
    </w:rPr>
  </w:style>
  <w:style w:type="paragraph" w:customStyle="1" w:styleId="sennhsubhead">
    <w:name w:val="sennh subhead"/>
    <w:basedOn w:val="Standard"/>
    <w:rsid w:val="008F76B3"/>
    <w:pPr>
      <w:tabs>
        <w:tab w:val="left" w:pos="567"/>
        <w:tab w:val="left" w:pos="1134"/>
        <w:tab w:val="left" w:pos="1701"/>
        <w:tab w:val="left" w:pos="2268"/>
      </w:tabs>
      <w:spacing w:after="40" w:line="240" w:lineRule="exact"/>
      <w:outlineLvl w:val="0"/>
    </w:pPr>
    <w:rPr>
      <w:rFonts w:ascii="Microsoft Sans Serif" w:eastAsia="Times" w:hAnsi="Microsoft Sans Serif" w:cs="Times New Roman"/>
      <w:bCs w:val="0"/>
      <w:caps/>
      <w:noProof/>
      <w:color w:val="0097D7"/>
      <w:sz w:val="20"/>
      <w:szCs w:val="20"/>
      <w:lang w:val="de-DE" w:eastAsia="de-DE"/>
    </w:rPr>
  </w:style>
  <w:style w:type="paragraph" w:customStyle="1" w:styleId="TabellentextlinksbndigTabelle">
    <w:name w:val="Tabellentext linksbündig (Tabelle)"/>
    <w:basedOn w:val="Standard"/>
    <w:uiPriority w:val="99"/>
    <w:rsid w:val="008F76B3"/>
    <w:pPr>
      <w:autoSpaceDE w:val="0"/>
      <w:autoSpaceDN w:val="0"/>
      <w:spacing w:line="288" w:lineRule="auto"/>
    </w:pPr>
    <w:rPr>
      <w:rFonts w:ascii="Sennheiser Neue Regular" w:eastAsiaTheme="minorHAnsi" w:hAnsi="Sennheiser Neue Regular" w:cs="Times New Roman"/>
      <w:bCs w:val="0"/>
      <w:color w:val="000000"/>
      <w:sz w:val="14"/>
      <w:szCs w:val="14"/>
      <w:lang w:val="de-DE"/>
    </w:rPr>
  </w:style>
  <w:style w:type="character" w:customStyle="1" w:styleId="NichtaufgelsteErwhnung1">
    <w:name w:val="Nicht aufgelöste Erwähnung1"/>
    <w:basedOn w:val="Absatz-Standardschriftart"/>
    <w:uiPriority w:val="99"/>
    <w:semiHidden/>
    <w:unhideWhenUsed/>
    <w:rsid w:val="00184428"/>
    <w:rPr>
      <w:color w:val="605E5C"/>
      <w:shd w:val="clear" w:color="auto" w:fill="E1DFDD"/>
    </w:rPr>
  </w:style>
  <w:style w:type="character" w:styleId="BesuchterHyperlink">
    <w:name w:val="FollowedHyperlink"/>
    <w:basedOn w:val="Absatz-Standardschriftart"/>
    <w:uiPriority w:val="99"/>
    <w:semiHidden/>
    <w:unhideWhenUsed/>
    <w:rsid w:val="00321725"/>
    <w:rPr>
      <w:color w:val="954F72" w:themeColor="followedHyperlink"/>
      <w:u w:val="single"/>
    </w:rPr>
  </w:style>
  <w:style w:type="character" w:customStyle="1" w:styleId="NichtaufgelsteErwhnung2">
    <w:name w:val="Nicht aufgelöste Erwähnung2"/>
    <w:basedOn w:val="Absatz-Standardschriftart"/>
    <w:uiPriority w:val="99"/>
    <w:semiHidden/>
    <w:unhideWhenUsed/>
    <w:rsid w:val="00784A85"/>
    <w:rPr>
      <w:color w:val="605E5C"/>
      <w:shd w:val="clear" w:color="auto" w:fill="E1DFDD"/>
    </w:rPr>
  </w:style>
  <w:style w:type="character" w:styleId="IntensiverVerweis">
    <w:name w:val="Intense Reference"/>
    <w:basedOn w:val="Absatz-Standardschriftart"/>
    <w:uiPriority w:val="73"/>
    <w:qFormat/>
    <w:rsid w:val="00EE124B"/>
    <w:rPr>
      <w:b/>
      <w:bCs/>
      <w:smallCaps/>
      <w:color w:val="5B9BD5" w:themeColor="accent1"/>
      <w:spacing w:val="5"/>
    </w:rPr>
  </w:style>
  <w:style w:type="character" w:customStyle="1" w:styleId="UnresolvedMention">
    <w:name w:val="Unresolved Mention"/>
    <w:basedOn w:val="Absatz-Standardschriftart"/>
    <w:uiPriority w:val="99"/>
    <w:semiHidden/>
    <w:unhideWhenUsed/>
    <w:rsid w:val="00811F32"/>
    <w:rPr>
      <w:color w:val="605E5C"/>
      <w:shd w:val="clear" w:color="auto" w:fill="E1DFDD"/>
    </w:rPr>
  </w:style>
  <w:style w:type="character" w:customStyle="1" w:styleId="normaltextrun">
    <w:name w:val="normaltextrun"/>
    <w:basedOn w:val="Absatz-Standardschriftart"/>
    <w:rsid w:val="00E90D67"/>
  </w:style>
  <w:style w:type="character" w:customStyle="1" w:styleId="eop">
    <w:name w:val="eop"/>
    <w:basedOn w:val="Absatz-Standardschriftart"/>
    <w:rsid w:val="00E90D6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ennheiser Office" w:eastAsia="Sennheiser Office" w:hAnsi="Sennheiser Office"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iPriority="1" w:unhideWhenUsed="0"/>
    <w:lsdException w:name="Medium Shading 2 Accent 1" w:semiHidden="0" w:uiPriority="60" w:unhideWhenUsed="0"/>
    <w:lsdException w:name="Medium List 1 Accent 1" w:semiHidden="0" w:uiPriority="61" w:unhideWhenUsed="0"/>
    <w:lsdException w:name="Revision" w:uiPriority="62" w:unhideWhenUsed="0"/>
    <w:lsdException w:name="List Paragraph" w:semiHidden="0" w:uiPriority="34" w:unhideWhenUsed="0" w:qFormat="1"/>
    <w:lsdException w:name="Quote" w:semiHidden="0" w:uiPriority="64" w:unhideWhenUsed="0" w:qFormat="1"/>
    <w:lsdException w:name="Intense Quote" w:semiHidden="0" w:uiPriority="6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qFormat="1"/>
    <w:lsdException w:name="Colorful Grid Accent 1" w:semiHidden="0" w:uiPriority="73" w:unhideWhenUsed="0" w:qFormat="1"/>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nhideWhenUsed="0"/>
    <w:lsdException w:name="Medium Grid 1 Accent 2" w:semiHidden="0" w:uiPriority="72" w:unhideWhenUsed="0" w:qFormat="1"/>
    <w:lsdException w:name="Medium Grid 2 Accent 2" w:semiHidden="0" w:uiPriority="29" w:unhideWhenUsed="0"/>
    <w:lsdException w:name="Medium Grid 3 Accent 2" w:semiHidden="0" w:uiPriority="30" w:unhideWhenUsed="0"/>
    <w:lsdException w:name="Dark List Accent 2" w:semiHidden="0" w:uiPriority="66" w:unhideWhenUsed="0"/>
    <w:lsdException w:name="Colorful Shading Accent 2" w:semiHidden="0" w:uiPriority="67" w:unhideWhenUsed="0"/>
    <w:lsdException w:name="Colorful List Accent 2" w:semiHidden="0" w:uiPriority="68" w:unhideWhenUsed="0"/>
    <w:lsdException w:name="Colorful Grid Accent 2" w:semiHidden="0" w:uiPriority="69" w:unhideWhenUsed="0"/>
    <w:lsdException w:name="Light Shading Accent 3" w:semiHidden="0" w:uiPriority="70" w:unhideWhenUsed="0"/>
    <w:lsdException w:name="Light List Accent 3" w:semiHidden="0" w:uiPriority="71" w:unhideWhenUsed="0"/>
    <w:lsdException w:name="Light Grid Accent 3" w:semiHidden="0" w:uiPriority="72" w:unhideWhenUsed="0"/>
    <w:lsdException w:name="Medium Shading 1 Accent 3" w:semiHidden="0" w:uiPriority="73" w:unhideWhenUsed="0"/>
    <w:lsdException w:name="Medium Shading 2 Accent 3" w:semiHidden="0" w:uiPriority="60" w:unhideWhenUsed="0"/>
    <w:lsdException w:name="Medium List 1 Accent 3" w:semiHidden="0" w:uiPriority="61" w:unhideWhenUsed="0"/>
    <w:lsdException w:name="Medium List 2 Accent 3" w:semiHidden="0" w:uiPriority="62" w:unhideWhenUsed="0"/>
    <w:lsdException w:name="Medium Grid 1 Accent 3" w:semiHidden="0" w:uiPriority="63" w:unhideWhenUsed="0"/>
    <w:lsdException w:name="Medium Grid 2 Accent 3" w:semiHidden="0" w:uiPriority="64" w:unhideWhenUsed="0"/>
    <w:lsdException w:name="Medium Grid 3 Accent 3" w:semiHidden="0" w:uiPriority="65" w:unhideWhenUsed="0"/>
    <w:lsdException w:name="Dark List Accent 3" w:semiHidden="0" w:uiPriority="66" w:unhideWhenUsed="0"/>
    <w:lsdException w:name="Colorful Shading Accent 3" w:semiHidden="0" w:uiPriority="67" w:unhideWhenUsed="0"/>
    <w:lsdException w:name="Colorful List Accent 3" w:semiHidden="0" w:uiPriority="68" w:unhideWhenUsed="0"/>
    <w:lsdException w:name="Colorful Grid Accent 3" w:semiHidden="0" w:uiPriority="69" w:unhideWhenUsed="0"/>
    <w:lsdException w:name="Light Shading Accent 4" w:semiHidden="0" w:uiPriority="70" w:unhideWhenUsed="0"/>
    <w:lsdException w:name="Light List Accent 4" w:semiHidden="0" w:uiPriority="71" w:unhideWhenUsed="0"/>
    <w:lsdException w:name="Light Grid Accent 4" w:semiHidden="0" w:uiPriority="72" w:unhideWhenUsed="0"/>
    <w:lsdException w:name="Medium Shading 1 Accent 4" w:semiHidden="0" w:uiPriority="73" w:unhideWhenUsed="0"/>
    <w:lsdException w:name="Medium Shading 2 Accent 4" w:semiHidden="0" w:uiPriority="60" w:unhideWhenUsed="0"/>
    <w:lsdException w:name="Medium List 1 Accent 4" w:semiHidden="0" w:uiPriority="61" w:unhideWhenUsed="0"/>
    <w:lsdException w:name="Medium List 2 Accent 4" w:semiHidden="0" w:uiPriority="62" w:unhideWhenUsed="0"/>
    <w:lsdException w:name="Medium Grid 1 Accent 4" w:semiHidden="0" w:uiPriority="63" w:unhideWhenUsed="0"/>
    <w:lsdException w:name="Medium Grid 2 Accent 4" w:semiHidden="0" w:uiPriority="64" w:unhideWhenUsed="0"/>
    <w:lsdException w:name="Medium Grid 3 Accent 4" w:semiHidden="0" w:uiPriority="65" w:unhideWhenUsed="0"/>
    <w:lsdException w:name="Dark List Accent 4" w:semiHidden="0" w:uiPriority="66" w:unhideWhenUsed="0"/>
    <w:lsdException w:name="Colorful Shading Accent 4" w:semiHidden="0" w:uiPriority="67" w:unhideWhenUsed="0"/>
    <w:lsdException w:name="Colorful List Accent 4" w:semiHidden="0" w:uiPriority="68" w:unhideWhenUsed="0"/>
    <w:lsdException w:name="Colorful Grid Accent 4" w:semiHidden="0" w:uiPriority="69" w:unhideWhenUsed="0"/>
    <w:lsdException w:name="Light Shading Accent 5" w:semiHidden="0" w:uiPriority="70" w:unhideWhenUsed="0"/>
    <w:lsdException w:name="Light List Accent 5" w:semiHidden="0" w:uiPriority="71" w:unhideWhenUsed="0"/>
    <w:lsdException w:name="Light Grid Accent 5" w:semiHidden="0" w:uiPriority="72" w:unhideWhenUsed="0"/>
    <w:lsdException w:name="Medium Shading 1 Accent 5" w:semiHidden="0" w:uiPriority="73" w:unhideWhenUsed="0"/>
    <w:lsdException w:name="Medium Shading 2 Accent 5" w:semiHidden="0" w:uiPriority="60" w:unhideWhenUsed="0"/>
    <w:lsdException w:name="Medium List 1 Accent 5" w:semiHidden="0" w:uiPriority="61" w:unhideWhenUsed="0"/>
    <w:lsdException w:name="Medium List 2 Accent 5" w:semiHidden="0" w:uiPriority="62" w:unhideWhenUsed="0"/>
    <w:lsdException w:name="Medium Grid 1 Accent 5" w:semiHidden="0" w:uiPriority="63" w:unhideWhenUsed="0"/>
    <w:lsdException w:name="Medium Grid 2 Accent 5" w:semiHidden="0" w:uiPriority="64" w:unhideWhenUsed="0"/>
    <w:lsdException w:name="Medium Grid 3 Accent 5" w:semiHidden="0" w:uiPriority="65" w:unhideWhenUsed="0"/>
    <w:lsdException w:name="Dark List Accent 5" w:semiHidden="0" w:uiPriority="66" w:unhideWhenUsed="0"/>
    <w:lsdException w:name="Colorful Shading Accent 5" w:semiHidden="0" w:uiPriority="67" w:unhideWhenUsed="0"/>
    <w:lsdException w:name="Colorful List Accent 5" w:semiHidden="0" w:uiPriority="68" w:unhideWhenUsed="0"/>
    <w:lsdException w:name="Colorful Grid Accent 5" w:semiHidden="0" w:uiPriority="69" w:unhideWhenUsed="0"/>
    <w:lsdException w:name="Light Shading Accent 6" w:semiHidden="0" w:uiPriority="70" w:unhideWhenUsed="0"/>
    <w:lsdException w:name="Light List Accent 6" w:semiHidden="0" w:uiPriority="71" w:unhideWhenUsed="0"/>
    <w:lsdException w:name="Light Grid Accent 6" w:semiHidden="0" w:uiPriority="72" w:unhideWhenUsed="0"/>
    <w:lsdException w:name="Medium Shading 1 Accent 6" w:semiHidden="0" w:uiPriority="73" w:unhideWhenUsed="0"/>
    <w:lsdException w:name="Medium Shading 2 Accent 6" w:semiHidden="0" w:uiPriority="60" w:unhideWhenUsed="0"/>
    <w:lsdException w:name="Medium List 1 Accent 6" w:semiHidden="0" w:uiPriority="61" w:unhideWhenUsed="0"/>
    <w:lsdException w:name="Medium List 2 Accent 6" w:semiHidden="0" w:uiPriority="62" w:unhideWhenUsed="0"/>
    <w:lsdException w:name="Medium Grid 1 Accent 6" w:semiHidden="0" w:uiPriority="63" w:unhideWhenUsed="0"/>
    <w:lsdException w:name="Medium Grid 2 Accent 6" w:semiHidden="0" w:uiPriority="64" w:unhideWhenUsed="0"/>
    <w:lsdException w:name="Medium Grid 3 Accent 6" w:semiHidden="0" w:uiPriority="65" w:unhideWhenUsed="0"/>
    <w:lsdException w:name="Dark List Accent 6" w:semiHidden="0" w:uiPriority="66" w:unhideWhenUsed="0"/>
    <w:lsdException w:name="Colorful Shading Accent 6" w:semiHidden="0" w:uiPriority="67" w:unhideWhenUsed="0"/>
    <w:lsdException w:name="Colorful List Accent 6" w:semiHidden="0" w:uiPriority="68" w:unhideWhenUsed="0"/>
    <w:lsdException w:name="Colorful Grid Accent 6" w:semiHidden="0" w:uiPriority="69" w:unhideWhenUsed="0"/>
    <w:lsdException w:name="Subtle Emphasis" w:semiHidden="0" w:uiPriority="70" w:unhideWhenUsed="0" w:qFormat="1"/>
    <w:lsdException w:name="Intense Emphasis" w:semiHidden="0" w:uiPriority="71" w:unhideWhenUsed="0" w:qFormat="1"/>
    <w:lsdException w:name="Subtle Reference" w:semiHidden="0" w:uiPriority="72" w:unhideWhenUsed="0" w:qFormat="1"/>
    <w:lsdException w:name="Intense Reference" w:semiHidden="0" w:uiPriority="73" w:unhideWhenUsed="0" w:qFormat="1"/>
    <w:lsdException w:name="Book Title" w:semiHidden="0" w:uiPriority="60" w:unhideWhenUsed="0" w:qFormat="1"/>
    <w:lsdException w:name="Bibliography" w:uiPriority="61"/>
    <w:lsdException w:name="TOC Heading" w:uiPriority="62" w:qFormat="1"/>
  </w:latentStyles>
  <w:style w:type="paragraph" w:default="1" w:styleId="Standard">
    <w:name w:val="Normal"/>
    <w:qFormat/>
    <w:rsid w:val="00162884"/>
    <w:pPr>
      <w:spacing w:line="360" w:lineRule="auto"/>
    </w:pPr>
    <w:rPr>
      <w:rFonts w:cs="Arial"/>
      <w:bCs/>
      <w:sz w:val="18"/>
      <w:szCs w:val="22"/>
      <w:lang w:val="en-US" w:eastAsia="en-US"/>
    </w:rPr>
  </w:style>
  <w:style w:type="paragraph" w:styleId="berschrift1">
    <w:name w:val="heading 1"/>
    <w:basedOn w:val="Standard"/>
    <w:next w:val="Standard"/>
    <w:link w:val="berschrift1Zchn"/>
    <w:uiPriority w:val="9"/>
    <w:qFormat/>
    <w:rsid w:val="009C45A2"/>
    <w:pPr>
      <w:outlineLvl w:val="0"/>
    </w:pPr>
    <w:rPr>
      <w:rFonts w:cs="Times New Roman"/>
      <w:b/>
      <w:bCs w:val="0"/>
      <w:caps/>
      <w:color w:val="0095D5"/>
      <w:szCs w:val="20"/>
      <w:lang w:val="en-GB" w:eastAsia="x-none"/>
    </w:rPr>
  </w:style>
  <w:style w:type="paragraph" w:styleId="berschrift2">
    <w:name w:val="heading 2"/>
    <w:basedOn w:val="Standard"/>
    <w:next w:val="Standard"/>
    <w:link w:val="berschrift2Zchn"/>
    <w:uiPriority w:val="9"/>
    <w:qFormat/>
    <w:rsid w:val="009C45A2"/>
    <w:pPr>
      <w:outlineLvl w:val="1"/>
    </w:pPr>
    <w:rPr>
      <w:rFonts w:cs="Times New Roman"/>
      <w:b/>
      <w:bCs w:val="0"/>
      <w:szCs w:val="20"/>
      <w:lang w:val="en-GB" w:eastAsia="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E5D5C"/>
    <w:pPr>
      <w:spacing w:line="195" w:lineRule="atLeast"/>
      <w:ind w:right="-1737"/>
      <w:jc w:val="right"/>
    </w:pPr>
    <w:rPr>
      <w:rFonts w:cs="Times New Roman"/>
      <w:bCs w:val="0"/>
      <w:caps/>
      <w:spacing w:val="12"/>
      <w:sz w:val="15"/>
      <w:szCs w:val="20"/>
      <w:lang w:val="en-GB" w:eastAsia="x-none"/>
    </w:rPr>
  </w:style>
  <w:style w:type="character" w:customStyle="1" w:styleId="KopfzeileZchn">
    <w:name w:val="Kopfzeile Zchn"/>
    <w:link w:val="Kopfzeile"/>
    <w:uiPriority w:val="99"/>
    <w:rsid w:val="008E5D5C"/>
    <w:rPr>
      <w:caps/>
      <w:spacing w:val="12"/>
      <w:sz w:val="15"/>
      <w:lang w:val="en-GB"/>
    </w:rPr>
  </w:style>
  <w:style w:type="paragraph" w:styleId="Fuzeile">
    <w:name w:val="footer"/>
    <w:basedOn w:val="Standard"/>
    <w:link w:val="FuzeileZchn"/>
    <w:uiPriority w:val="99"/>
    <w:unhideWhenUsed/>
    <w:rsid w:val="00AB5767"/>
    <w:pPr>
      <w:spacing w:line="180" w:lineRule="atLeast"/>
    </w:pPr>
    <w:rPr>
      <w:rFonts w:cs="Times New Roman"/>
      <w:bCs w:val="0"/>
      <w:sz w:val="12"/>
      <w:szCs w:val="20"/>
      <w:lang w:val="en-GB" w:eastAsia="x-none"/>
    </w:rPr>
  </w:style>
  <w:style w:type="character" w:customStyle="1" w:styleId="FuzeileZchn">
    <w:name w:val="Fußzeile Zchn"/>
    <w:link w:val="Fuzeile"/>
    <w:uiPriority w:val="99"/>
    <w:rsid w:val="00AB5767"/>
    <w:rPr>
      <w:sz w:val="12"/>
      <w:lang w:val="en-GB"/>
    </w:rPr>
  </w:style>
  <w:style w:type="table" w:styleId="Tabellenraster">
    <w:name w:val="Table Grid"/>
    <w:basedOn w:val="NormaleTabelle"/>
    <w:uiPriority w:val="59"/>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C4E77"/>
    <w:pPr>
      <w:spacing w:before="440" w:after="200"/>
      <w:contextualSpacing/>
    </w:pPr>
    <w:rPr>
      <w:rFonts w:cs="Times New Roman"/>
      <w:bCs w:val="0"/>
      <w:sz w:val="24"/>
      <w:szCs w:val="20"/>
      <w:lang w:val="en-GB" w:eastAsia="x-none"/>
    </w:rPr>
  </w:style>
  <w:style w:type="character" w:customStyle="1" w:styleId="TitelZchn">
    <w:name w:val="Titel Zchn"/>
    <w:link w:val="Titel"/>
    <w:uiPriority w:val="10"/>
    <w:rsid w:val="00AC4E77"/>
    <w:rPr>
      <w:sz w:val="24"/>
      <w:lang w:val="en-GB"/>
    </w:rPr>
  </w:style>
  <w:style w:type="character" w:customStyle="1" w:styleId="berschrift1Zchn">
    <w:name w:val="Überschrift 1 Zchn"/>
    <w:link w:val="berschrift1"/>
    <w:uiPriority w:val="9"/>
    <w:rsid w:val="009C45A2"/>
    <w:rPr>
      <w:b/>
      <w:caps/>
      <w:color w:val="0095D5"/>
      <w:sz w:val="18"/>
      <w:lang w:val="en-GB"/>
    </w:rPr>
  </w:style>
  <w:style w:type="paragraph" w:customStyle="1" w:styleId="Marginalnote">
    <w:name w:val="Marginal note"/>
    <w:basedOn w:val="Standard"/>
    <w:qFormat/>
    <w:rsid w:val="00F45F5C"/>
    <w:pPr>
      <w:framePr w:w="1418" w:wrap="around" w:vAnchor="text" w:hAnchor="text" w:x="8194" w:y="41"/>
      <w:spacing w:line="195" w:lineRule="atLeast"/>
    </w:pPr>
    <w:rPr>
      <w:sz w:val="15"/>
    </w:rPr>
  </w:style>
  <w:style w:type="character" w:customStyle="1" w:styleId="berschrift2Zchn">
    <w:name w:val="Überschrift 2 Zchn"/>
    <w:link w:val="berschrift2"/>
    <w:uiPriority w:val="9"/>
    <w:rsid w:val="009C45A2"/>
    <w:rPr>
      <w:b/>
      <w:sz w:val="18"/>
      <w:lang w:val="en-GB"/>
    </w:rPr>
  </w:style>
  <w:style w:type="paragraph" w:customStyle="1" w:styleId="Contact">
    <w:name w:val="Contact"/>
    <w:basedOn w:val="Standard"/>
    <w:qFormat/>
    <w:rsid w:val="00C24DAB"/>
    <w:pPr>
      <w:tabs>
        <w:tab w:val="left" w:pos="4111"/>
      </w:tabs>
      <w:spacing w:line="210" w:lineRule="atLeast"/>
    </w:pPr>
    <w:rPr>
      <w:sz w:val="15"/>
    </w:rPr>
  </w:style>
  <w:style w:type="character" w:styleId="Hyperlink">
    <w:name w:val="Hyperlink"/>
    <w:uiPriority w:val="99"/>
    <w:unhideWhenUsed/>
    <w:rsid w:val="00C24DAB"/>
    <w:rPr>
      <w:color w:val="000000"/>
      <w:u w:val="single"/>
    </w:rPr>
  </w:style>
  <w:style w:type="paragraph" w:customStyle="1" w:styleId="Embargo">
    <w:name w:val="Embargo"/>
    <w:basedOn w:val="Standard"/>
    <w:qFormat/>
    <w:rsid w:val="009C45A2"/>
    <w:pPr>
      <w:spacing w:after="240"/>
    </w:pPr>
    <w:rPr>
      <w:b/>
      <w:color w:val="FF0A14"/>
    </w:rPr>
  </w:style>
  <w:style w:type="paragraph" w:styleId="Beschriftung">
    <w:name w:val="caption"/>
    <w:basedOn w:val="Standard"/>
    <w:next w:val="Standard"/>
    <w:uiPriority w:val="35"/>
    <w:qFormat/>
    <w:rsid w:val="009320A9"/>
    <w:pPr>
      <w:spacing w:line="210" w:lineRule="atLeast"/>
    </w:pPr>
    <w:rPr>
      <w:sz w:val="15"/>
    </w:rPr>
  </w:style>
  <w:style w:type="paragraph" w:customStyle="1" w:styleId="About">
    <w:name w:val="About"/>
    <w:basedOn w:val="Standard"/>
    <w:qFormat/>
    <w:rsid w:val="00B476AD"/>
    <w:pPr>
      <w:spacing w:line="240" w:lineRule="auto"/>
    </w:pPr>
  </w:style>
  <w:style w:type="paragraph" w:styleId="Sprechblasentext">
    <w:name w:val="Balloon Text"/>
    <w:basedOn w:val="Standard"/>
    <w:link w:val="SprechblasentextZchn"/>
    <w:uiPriority w:val="99"/>
    <w:semiHidden/>
    <w:unhideWhenUsed/>
    <w:rsid w:val="002A2469"/>
    <w:pPr>
      <w:spacing w:line="240" w:lineRule="auto"/>
    </w:pPr>
    <w:rPr>
      <w:rFonts w:ascii="Tahoma" w:hAnsi="Tahoma" w:cs="Times New Roman"/>
      <w:bCs w:val="0"/>
      <w:sz w:val="16"/>
      <w:szCs w:val="16"/>
      <w:lang w:val="en-GB" w:eastAsia="x-none"/>
    </w:rPr>
  </w:style>
  <w:style w:type="character" w:customStyle="1" w:styleId="SprechblasentextZchn">
    <w:name w:val="Sprechblasentext Zchn"/>
    <w:link w:val="Sprechblasentext"/>
    <w:uiPriority w:val="99"/>
    <w:semiHidden/>
    <w:rsid w:val="002A2469"/>
    <w:rPr>
      <w:rFonts w:ascii="Tahoma" w:hAnsi="Tahoma" w:cs="Tahoma"/>
      <w:sz w:val="16"/>
      <w:szCs w:val="16"/>
      <w:lang w:val="en-GB"/>
    </w:rPr>
  </w:style>
  <w:style w:type="paragraph" w:customStyle="1" w:styleId="FarbigeSchattierung-Akzent31">
    <w:name w:val="Farbige Schattierung - Akzent 31"/>
    <w:basedOn w:val="Standard"/>
    <w:uiPriority w:val="72"/>
    <w:qFormat/>
    <w:rsid w:val="002A2469"/>
    <w:pPr>
      <w:spacing w:line="240" w:lineRule="auto"/>
      <w:ind w:left="720"/>
      <w:contextualSpacing/>
    </w:pPr>
    <w:rPr>
      <w:rFonts w:ascii="Calibri" w:eastAsia="Calibri" w:hAnsi="Calibri" w:cs="Times New Roman"/>
      <w:sz w:val="22"/>
      <w:lang w:val="fr-FR"/>
    </w:rPr>
  </w:style>
  <w:style w:type="paragraph" w:customStyle="1" w:styleId="BodyA">
    <w:name w:val="Body A"/>
    <w:rsid w:val="00B90830"/>
    <w:pPr>
      <w:pBdr>
        <w:top w:val="nil"/>
        <w:left w:val="nil"/>
        <w:bottom w:val="nil"/>
        <w:right w:val="nil"/>
        <w:between w:val="nil"/>
        <w:bar w:val="nil"/>
      </w:pBdr>
      <w:spacing w:line="336" w:lineRule="auto"/>
      <w:jc w:val="both"/>
    </w:pPr>
    <w:rPr>
      <w:rFonts w:ascii="Andale Mono" w:eastAsia="Arial Unicode MS" w:hAnsi="Arial Unicode MS" w:cs="Arial Unicode MS"/>
      <w:color w:val="000000"/>
      <w:sz w:val="24"/>
      <w:szCs w:val="24"/>
      <w:u w:color="000000"/>
      <w:bdr w:val="nil"/>
      <w:lang w:val="en-US"/>
    </w:rPr>
  </w:style>
  <w:style w:type="character" w:styleId="Fett">
    <w:name w:val="Strong"/>
    <w:aliases w:val="Überschrift"/>
    <w:uiPriority w:val="99"/>
    <w:qFormat/>
    <w:rsid w:val="00B90830"/>
    <w:rPr>
      <w:rFonts w:ascii="Sennheiser-Bold" w:hAnsi="Sennheiser-Bold" w:cs="Times New Roman"/>
      <w:sz w:val="22"/>
    </w:rPr>
  </w:style>
  <w:style w:type="character" w:styleId="Kommentarzeichen">
    <w:name w:val="annotation reference"/>
    <w:uiPriority w:val="99"/>
    <w:semiHidden/>
    <w:unhideWhenUsed/>
    <w:rsid w:val="00694698"/>
    <w:rPr>
      <w:sz w:val="16"/>
      <w:szCs w:val="16"/>
    </w:rPr>
  </w:style>
  <w:style w:type="paragraph" w:styleId="Kommentartext">
    <w:name w:val="annotation text"/>
    <w:basedOn w:val="Standard"/>
    <w:link w:val="KommentartextZchn"/>
    <w:uiPriority w:val="99"/>
    <w:semiHidden/>
    <w:unhideWhenUsed/>
    <w:rsid w:val="00694698"/>
    <w:rPr>
      <w:sz w:val="20"/>
      <w:szCs w:val="20"/>
    </w:rPr>
  </w:style>
  <w:style w:type="character" w:customStyle="1" w:styleId="KommentartextZchn">
    <w:name w:val="Kommentartext Zchn"/>
    <w:link w:val="Kommentartext"/>
    <w:uiPriority w:val="99"/>
    <w:semiHidden/>
    <w:rsid w:val="00694698"/>
    <w:rPr>
      <w:rFonts w:cs="Arial"/>
      <w:bCs/>
      <w:lang w:val="en-US" w:eastAsia="en-US"/>
    </w:rPr>
  </w:style>
  <w:style w:type="paragraph" w:styleId="Kommentarthema">
    <w:name w:val="annotation subject"/>
    <w:basedOn w:val="Kommentartext"/>
    <w:next w:val="Kommentartext"/>
    <w:link w:val="KommentarthemaZchn"/>
    <w:uiPriority w:val="99"/>
    <w:semiHidden/>
    <w:unhideWhenUsed/>
    <w:rsid w:val="00694698"/>
    <w:rPr>
      <w:b/>
    </w:rPr>
  </w:style>
  <w:style w:type="character" w:customStyle="1" w:styleId="KommentarthemaZchn">
    <w:name w:val="Kommentarthema Zchn"/>
    <w:link w:val="Kommentarthema"/>
    <w:uiPriority w:val="99"/>
    <w:semiHidden/>
    <w:rsid w:val="00694698"/>
    <w:rPr>
      <w:rFonts w:cs="Arial"/>
      <w:b/>
      <w:bCs/>
      <w:lang w:val="en-US" w:eastAsia="en-US"/>
    </w:rPr>
  </w:style>
  <w:style w:type="paragraph" w:styleId="Listenabsatz">
    <w:name w:val="List Paragraph"/>
    <w:basedOn w:val="Standard"/>
    <w:uiPriority w:val="34"/>
    <w:qFormat/>
    <w:rsid w:val="008F76B3"/>
    <w:pPr>
      <w:spacing w:line="240" w:lineRule="atLeast"/>
      <w:ind w:left="720"/>
      <w:contextualSpacing/>
    </w:pPr>
    <w:rPr>
      <w:rFonts w:asciiTheme="minorHAnsi" w:eastAsiaTheme="minorHAnsi" w:hAnsiTheme="minorHAnsi" w:cstheme="minorBidi"/>
      <w:bCs w:val="0"/>
      <w:lang w:val="en-GB"/>
    </w:rPr>
  </w:style>
  <w:style w:type="paragraph" w:customStyle="1" w:styleId="sennhsubhead">
    <w:name w:val="sennh subhead"/>
    <w:basedOn w:val="Standard"/>
    <w:rsid w:val="008F76B3"/>
    <w:pPr>
      <w:tabs>
        <w:tab w:val="left" w:pos="567"/>
        <w:tab w:val="left" w:pos="1134"/>
        <w:tab w:val="left" w:pos="1701"/>
        <w:tab w:val="left" w:pos="2268"/>
      </w:tabs>
      <w:spacing w:after="40" w:line="240" w:lineRule="exact"/>
      <w:outlineLvl w:val="0"/>
    </w:pPr>
    <w:rPr>
      <w:rFonts w:ascii="Microsoft Sans Serif" w:eastAsia="Times" w:hAnsi="Microsoft Sans Serif" w:cs="Times New Roman"/>
      <w:bCs w:val="0"/>
      <w:caps/>
      <w:noProof/>
      <w:color w:val="0097D7"/>
      <w:sz w:val="20"/>
      <w:szCs w:val="20"/>
      <w:lang w:val="de-DE" w:eastAsia="de-DE"/>
    </w:rPr>
  </w:style>
  <w:style w:type="paragraph" w:customStyle="1" w:styleId="TabellentextlinksbndigTabelle">
    <w:name w:val="Tabellentext linksbündig (Tabelle)"/>
    <w:basedOn w:val="Standard"/>
    <w:uiPriority w:val="99"/>
    <w:rsid w:val="008F76B3"/>
    <w:pPr>
      <w:autoSpaceDE w:val="0"/>
      <w:autoSpaceDN w:val="0"/>
      <w:spacing w:line="288" w:lineRule="auto"/>
    </w:pPr>
    <w:rPr>
      <w:rFonts w:ascii="Sennheiser Neue Regular" w:eastAsiaTheme="minorHAnsi" w:hAnsi="Sennheiser Neue Regular" w:cs="Times New Roman"/>
      <w:bCs w:val="0"/>
      <w:color w:val="000000"/>
      <w:sz w:val="14"/>
      <w:szCs w:val="14"/>
      <w:lang w:val="de-DE"/>
    </w:rPr>
  </w:style>
  <w:style w:type="character" w:customStyle="1" w:styleId="NichtaufgelsteErwhnung1">
    <w:name w:val="Nicht aufgelöste Erwähnung1"/>
    <w:basedOn w:val="Absatz-Standardschriftart"/>
    <w:uiPriority w:val="99"/>
    <w:semiHidden/>
    <w:unhideWhenUsed/>
    <w:rsid w:val="00184428"/>
    <w:rPr>
      <w:color w:val="605E5C"/>
      <w:shd w:val="clear" w:color="auto" w:fill="E1DFDD"/>
    </w:rPr>
  </w:style>
  <w:style w:type="character" w:styleId="BesuchterHyperlink">
    <w:name w:val="FollowedHyperlink"/>
    <w:basedOn w:val="Absatz-Standardschriftart"/>
    <w:uiPriority w:val="99"/>
    <w:semiHidden/>
    <w:unhideWhenUsed/>
    <w:rsid w:val="00321725"/>
    <w:rPr>
      <w:color w:val="954F72" w:themeColor="followedHyperlink"/>
      <w:u w:val="single"/>
    </w:rPr>
  </w:style>
  <w:style w:type="character" w:customStyle="1" w:styleId="NichtaufgelsteErwhnung2">
    <w:name w:val="Nicht aufgelöste Erwähnung2"/>
    <w:basedOn w:val="Absatz-Standardschriftart"/>
    <w:uiPriority w:val="99"/>
    <w:semiHidden/>
    <w:unhideWhenUsed/>
    <w:rsid w:val="00784A85"/>
    <w:rPr>
      <w:color w:val="605E5C"/>
      <w:shd w:val="clear" w:color="auto" w:fill="E1DFDD"/>
    </w:rPr>
  </w:style>
  <w:style w:type="character" w:styleId="IntensiverVerweis">
    <w:name w:val="Intense Reference"/>
    <w:basedOn w:val="Absatz-Standardschriftart"/>
    <w:uiPriority w:val="73"/>
    <w:qFormat/>
    <w:rsid w:val="00EE124B"/>
    <w:rPr>
      <w:b/>
      <w:bCs/>
      <w:smallCaps/>
      <w:color w:val="5B9BD5" w:themeColor="accent1"/>
      <w:spacing w:val="5"/>
    </w:rPr>
  </w:style>
  <w:style w:type="character" w:customStyle="1" w:styleId="UnresolvedMention">
    <w:name w:val="Unresolved Mention"/>
    <w:basedOn w:val="Absatz-Standardschriftart"/>
    <w:uiPriority w:val="99"/>
    <w:semiHidden/>
    <w:unhideWhenUsed/>
    <w:rsid w:val="00811F32"/>
    <w:rPr>
      <w:color w:val="605E5C"/>
      <w:shd w:val="clear" w:color="auto" w:fill="E1DFDD"/>
    </w:rPr>
  </w:style>
  <w:style w:type="character" w:customStyle="1" w:styleId="normaltextrun">
    <w:name w:val="normaltextrun"/>
    <w:basedOn w:val="Absatz-Standardschriftart"/>
    <w:rsid w:val="00E90D67"/>
  </w:style>
  <w:style w:type="character" w:customStyle="1" w:styleId="eop">
    <w:name w:val="eop"/>
    <w:basedOn w:val="Absatz-Standardschriftart"/>
    <w:rsid w:val="00E90D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475502">
      <w:bodyDiv w:val="1"/>
      <w:marLeft w:val="0"/>
      <w:marRight w:val="0"/>
      <w:marTop w:val="0"/>
      <w:marBottom w:val="0"/>
      <w:divBdr>
        <w:top w:val="none" w:sz="0" w:space="0" w:color="auto"/>
        <w:left w:val="none" w:sz="0" w:space="0" w:color="auto"/>
        <w:bottom w:val="none" w:sz="0" w:space="0" w:color="auto"/>
        <w:right w:val="none" w:sz="0" w:space="0" w:color="auto"/>
      </w:divBdr>
    </w:div>
    <w:div w:id="148835058">
      <w:bodyDiv w:val="1"/>
      <w:marLeft w:val="0"/>
      <w:marRight w:val="0"/>
      <w:marTop w:val="0"/>
      <w:marBottom w:val="0"/>
      <w:divBdr>
        <w:top w:val="none" w:sz="0" w:space="0" w:color="auto"/>
        <w:left w:val="none" w:sz="0" w:space="0" w:color="auto"/>
        <w:bottom w:val="none" w:sz="0" w:space="0" w:color="auto"/>
        <w:right w:val="none" w:sz="0" w:space="0" w:color="auto"/>
      </w:divBdr>
    </w:div>
    <w:div w:id="799299974">
      <w:bodyDiv w:val="1"/>
      <w:marLeft w:val="0"/>
      <w:marRight w:val="0"/>
      <w:marTop w:val="0"/>
      <w:marBottom w:val="0"/>
      <w:divBdr>
        <w:top w:val="none" w:sz="0" w:space="0" w:color="auto"/>
        <w:left w:val="none" w:sz="0" w:space="0" w:color="auto"/>
        <w:bottom w:val="none" w:sz="0" w:space="0" w:color="auto"/>
        <w:right w:val="none" w:sz="0" w:space="0" w:color="auto"/>
      </w:divBdr>
    </w:div>
    <w:div w:id="965936614">
      <w:bodyDiv w:val="1"/>
      <w:marLeft w:val="0"/>
      <w:marRight w:val="0"/>
      <w:marTop w:val="0"/>
      <w:marBottom w:val="0"/>
      <w:divBdr>
        <w:top w:val="none" w:sz="0" w:space="0" w:color="auto"/>
        <w:left w:val="none" w:sz="0" w:space="0" w:color="auto"/>
        <w:bottom w:val="none" w:sz="0" w:space="0" w:color="auto"/>
        <w:right w:val="none" w:sz="0" w:space="0" w:color="auto"/>
      </w:divBdr>
    </w:div>
    <w:div w:id="1481536004">
      <w:bodyDiv w:val="1"/>
      <w:marLeft w:val="0"/>
      <w:marRight w:val="0"/>
      <w:marTop w:val="0"/>
      <w:marBottom w:val="0"/>
      <w:divBdr>
        <w:top w:val="none" w:sz="0" w:space="0" w:color="auto"/>
        <w:left w:val="none" w:sz="0" w:space="0" w:color="auto"/>
        <w:bottom w:val="none" w:sz="0" w:space="0" w:color="auto"/>
        <w:right w:val="none" w:sz="0" w:space="0" w:color="auto"/>
      </w:divBdr>
    </w:div>
    <w:div w:id="1778327259">
      <w:bodyDiv w:val="1"/>
      <w:marLeft w:val="0"/>
      <w:marRight w:val="0"/>
      <w:marTop w:val="0"/>
      <w:marBottom w:val="0"/>
      <w:divBdr>
        <w:top w:val="none" w:sz="0" w:space="0" w:color="auto"/>
        <w:left w:val="none" w:sz="0" w:space="0" w:color="auto"/>
        <w:bottom w:val="none" w:sz="0" w:space="0" w:color="auto"/>
        <w:right w:val="none" w:sz="0" w:space="0" w:color="auto"/>
      </w:divBdr>
    </w:div>
    <w:div w:id="20508328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image" Target="media/image1.jpg"/><Relationship Id="rId17" Type="http://schemas.openxmlformats.org/officeDocument/2006/relationships/hyperlink" Target="http://www.sennheiser.com" TargetMode="External"/><Relationship Id="rId2" Type="http://schemas.openxmlformats.org/officeDocument/2006/relationships/customXml" Target="../customXml/item2.xml"/><Relationship Id="rId16" Type="http://schemas.openxmlformats.org/officeDocument/2006/relationships/hyperlink" Target="https://sennheiser-brandzone.com/c/1543/7jfm1wtj"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5" Type="http://schemas.openxmlformats.org/officeDocument/2006/relationships/numbering" Target="numbering.xml"/><Relationship Id="rId15" Type="http://schemas.openxmlformats.org/officeDocument/2006/relationships/image" Target="media/image4.jpg"/><Relationship Id="rId10" Type="http://schemas.openxmlformats.org/officeDocument/2006/relationships/footnotes" Target="foot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6.emf"/></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E5768E39F17BE46AC83C827D38268C7" ma:contentTypeVersion="9" ma:contentTypeDescription="Ein neues Dokument erstellen." ma:contentTypeScope="" ma:versionID="9384f61749f7886be32a44196dae6202">
  <xsd:schema xmlns:xsd="http://www.w3.org/2001/XMLSchema" xmlns:xs="http://www.w3.org/2001/XMLSchema" xmlns:p="http://schemas.microsoft.com/office/2006/metadata/properties" xmlns:ns2="f44aaffe-57ba-44ee-9c95-db698e2c105a" targetNamespace="http://schemas.microsoft.com/office/2006/metadata/properties" ma:root="true" ma:fieldsID="a86399355bfbcfe8a42099029a3e1e13" ns2:_="">
    <xsd:import namespace="f44aaffe-57ba-44ee-9c95-db698e2c10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EF2585-246F-4A6E-B3F4-0526090E6CEB}">
  <ds:schemaRefs>
    <ds:schemaRef ds:uri="http://schemas.microsoft.com/sharepoint/v3/contenttype/forms"/>
  </ds:schemaRefs>
</ds:datastoreItem>
</file>

<file path=customXml/itemProps2.xml><?xml version="1.0" encoding="utf-8"?>
<ds:datastoreItem xmlns:ds="http://schemas.openxmlformats.org/officeDocument/2006/customXml" ds:itemID="{8A8415FC-F16A-428B-8997-566E5F273D8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2BD23DA-1FCE-453B-A51E-4BFB9FB0FC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53619B0-20AC-4002-B258-602AA92D7B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1100</Words>
  <Characters>6937</Characters>
  <Application>Microsoft Office Word</Application>
  <DocSecurity>0</DocSecurity>
  <Lines>57</Lines>
  <Paragraphs>16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8021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O.Frenkel</cp:lastModifiedBy>
  <cp:revision>7</cp:revision>
  <cp:lastPrinted>2020-10-26T14:35:00Z</cp:lastPrinted>
  <dcterms:created xsi:type="dcterms:W3CDTF">2020-09-23T12:39:00Z</dcterms:created>
  <dcterms:modified xsi:type="dcterms:W3CDTF">2020-10-26T14:35:00Z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ies>
</file>